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Override PartName="/word/footer2.xml" ContentType="application/vnd.openxmlformats-officedocument.wordprocessingml.footer+xml"/>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line="360" w:lineRule="auto" w:before="75"/>
        <w:ind w:left="1114" w:right="112"/>
        <w:jc w:val="both"/>
      </w:pPr>
      <w:bookmarkStart w:name="CHEMICAL AND MECHANICAL CHARACTERIZATION" w:id="1"/>
      <w:bookmarkEnd w:id="1"/>
      <w:r>
        <w:rPr/>
      </w:r>
      <w:r>
        <w:rPr/>
        <w:t>CHEMICAL AND MECHANICAL CHARACTERIZATION OF HYALURONIC ACID HYDROGEL CROSS-LINKED WITH POLYETHYLEN GLYCOL AND ITS USE IN DERMATOLOGY.</w:t>
      </w:r>
    </w:p>
    <w:p>
      <w:pPr>
        <w:pStyle w:val="BodyText"/>
        <w:rPr>
          <w:sz w:val="26"/>
        </w:rPr>
      </w:pPr>
    </w:p>
    <w:p>
      <w:pPr>
        <w:pStyle w:val="BodyText"/>
        <w:rPr>
          <w:sz w:val="26"/>
        </w:rPr>
      </w:pPr>
    </w:p>
    <w:p>
      <w:pPr>
        <w:pStyle w:val="BodyText"/>
        <w:spacing w:line="482" w:lineRule="auto" w:before="208"/>
        <w:ind w:left="1178" w:right="175" w:hanging="3"/>
        <w:jc w:val="center"/>
      </w:pPr>
      <w:r>
        <w:rPr/>
        <w:drawing>
          <wp:anchor distT="0" distB="0" distL="0" distR="0" allowOverlap="1" layoutInCell="1" locked="0" behindDoc="0" simplePos="0" relativeHeight="15729152">
            <wp:simplePos x="0" y="0"/>
            <wp:positionH relativeFrom="page">
              <wp:posOffset>12700</wp:posOffset>
            </wp:positionH>
            <wp:positionV relativeFrom="paragraph">
              <wp:posOffset>162980</wp:posOffset>
            </wp:positionV>
            <wp:extent cx="876172" cy="6234938"/>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6" cstate="print"/>
                    <a:stretch>
                      <a:fillRect/>
                    </a:stretch>
                  </pic:blipFill>
                  <pic:spPr>
                    <a:xfrm>
                      <a:off x="0" y="0"/>
                      <a:ext cx="876172" cy="6234938"/>
                    </a:xfrm>
                    <a:prstGeom prst="rect">
                      <a:avLst/>
                    </a:prstGeom>
                  </pic:spPr>
                </pic:pic>
              </a:graphicData>
            </a:graphic>
          </wp:anchor>
        </w:drawing>
      </w:r>
      <w:r>
        <w:rPr/>
        <w:t>Nicola Zerbinati¹, Cristina Esposito², Giovanna Cipolla², Alberto Calligaro</w:t>
      </w:r>
      <w:r>
        <w:rPr>
          <w:vertAlign w:val="superscript"/>
        </w:rPr>
        <w:t>3</w:t>
      </w:r>
      <w:r>
        <w:rPr>
          <w:vertAlign w:val="baseline"/>
        </w:rPr>
        <w:t>, Damiano Monticelli</w:t>
      </w:r>
      <w:r>
        <w:rPr>
          <w:vertAlign w:val="superscript"/>
        </w:rPr>
        <w:t>4</w:t>
      </w:r>
      <w:r>
        <w:rPr>
          <w:vertAlign w:val="baseline"/>
        </w:rPr>
        <w:t>, Virginia Martina</w:t>
      </w:r>
      <w:r>
        <w:rPr>
          <w:vertAlign w:val="superscript"/>
        </w:rPr>
        <w:t>5</w:t>
      </w:r>
      <w:r>
        <w:rPr>
          <w:vertAlign w:val="baseline"/>
        </w:rPr>
        <w:t>, Masa Golubovic</w:t>
      </w:r>
      <w:r>
        <w:rPr>
          <w:vertAlign w:val="superscript"/>
        </w:rPr>
        <w:t>6</w:t>
      </w:r>
      <w:r>
        <w:rPr>
          <w:vertAlign w:val="baseline"/>
        </w:rPr>
        <w:t>, Iva Binic, </w:t>
      </w:r>
      <w:r>
        <w:rPr>
          <w:vertAlign w:val="superscript"/>
        </w:rPr>
        <w:t>7</w:t>
      </w:r>
      <w:r>
        <w:rPr>
          <w:vertAlign w:val="baseline"/>
        </w:rPr>
        <w:t>. Julia Sigova</w:t>
      </w:r>
      <w:r>
        <w:rPr>
          <w:vertAlign w:val="superscript"/>
        </w:rPr>
        <w:t>8</w:t>
      </w:r>
      <w:r>
        <w:rPr>
          <w:vertAlign w:val="baseline"/>
        </w:rPr>
        <w:t>, Anna. L. Gallo</w:t>
      </w:r>
      <w:r>
        <w:rPr>
          <w:vertAlign w:val="superscript"/>
        </w:rPr>
        <w:t>5</w:t>
      </w:r>
      <w:r>
        <w:rPr>
          <w:vertAlign w:val="baseline"/>
        </w:rPr>
        <w:t>, Edoardo D’Este², Mohammad Jafferany</w:t>
      </w:r>
      <w:r>
        <w:rPr>
          <w:vertAlign w:val="superscript"/>
        </w:rPr>
        <w:t>9</w:t>
      </w:r>
      <w:r>
        <w:rPr>
          <w:vertAlign w:val="baseline"/>
        </w:rPr>
        <w:t>, Marina Pratosoni¹, Michael Tirant</w:t>
      </w:r>
      <w:r>
        <w:rPr>
          <w:vertAlign w:val="superscript"/>
        </w:rPr>
        <w:t>10</w:t>
      </w:r>
      <w:r>
        <w:rPr>
          <w:vertAlign w:val="baseline"/>
        </w:rPr>
        <w:t>, </w:t>
      </w:r>
      <w:r>
        <w:rPr>
          <w:rFonts w:ascii="Arial" w:hAnsi="Arial"/>
          <w:sz w:val="22"/>
          <w:vertAlign w:val="baseline"/>
        </w:rPr>
        <w:t>Nguyen Van </w:t>
      </w:r>
      <w:r>
        <w:rPr>
          <w:vertAlign w:val="baseline"/>
        </w:rPr>
        <w:t>Thuong</w:t>
      </w:r>
      <w:r>
        <w:rPr>
          <w:vertAlign w:val="superscript"/>
        </w:rPr>
        <w:t>10</w:t>
      </w:r>
      <w:r>
        <w:rPr>
          <w:vertAlign w:val="baseline"/>
        </w:rPr>
        <w:t>, Fabiola Sangalli², Raffaele Rauso</w:t>
      </w:r>
      <w:r>
        <w:rPr>
          <w:vertAlign w:val="superscript"/>
        </w:rPr>
        <w:t>11</w:t>
      </w:r>
      <w:r>
        <w:rPr>
          <w:vertAlign w:val="baseline"/>
        </w:rPr>
        <w:t>, Torello Lotti</w:t>
      </w:r>
      <w:r>
        <w:rPr>
          <w:vertAlign w:val="superscript"/>
        </w:rPr>
        <w:t>12</w:t>
      </w:r>
    </w:p>
    <w:p>
      <w:pPr>
        <w:pStyle w:val="BodyText"/>
        <w:rPr>
          <w:sz w:val="20"/>
        </w:rPr>
      </w:pPr>
    </w:p>
    <w:p>
      <w:pPr>
        <w:pStyle w:val="BodyText"/>
        <w:rPr>
          <w:sz w:val="20"/>
        </w:rPr>
      </w:pPr>
    </w:p>
    <w:p>
      <w:pPr>
        <w:pStyle w:val="BodyText"/>
        <w:spacing w:before="7"/>
        <w:rPr>
          <w:sz w:val="15"/>
        </w:rPr>
      </w:pPr>
    </w:p>
    <w:tbl>
      <w:tblPr>
        <w:tblW w:w="0" w:type="auto"/>
        <w:jc w:val="left"/>
        <w:tblInd w:w="1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25"/>
        <w:gridCol w:w="3051"/>
        <w:gridCol w:w="4223"/>
      </w:tblGrid>
      <w:tr>
        <w:trPr>
          <w:trHeight w:val="364" w:hRule="atLeast"/>
        </w:trPr>
        <w:tc>
          <w:tcPr>
            <w:tcW w:w="1925" w:type="dxa"/>
          </w:tcPr>
          <w:p>
            <w:pPr>
              <w:pStyle w:val="TableParagraph"/>
              <w:spacing w:line="211" w:lineRule="exact" w:before="0"/>
              <w:rPr>
                <w:sz w:val="22"/>
              </w:rPr>
            </w:pPr>
            <w:r>
              <w:rPr>
                <w:sz w:val="22"/>
              </w:rPr>
              <w:t>Nicola</w:t>
            </w:r>
          </w:p>
        </w:tc>
        <w:tc>
          <w:tcPr>
            <w:tcW w:w="3051" w:type="dxa"/>
          </w:tcPr>
          <w:p>
            <w:pPr>
              <w:pStyle w:val="TableParagraph"/>
              <w:spacing w:line="211" w:lineRule="exact" w:before="0"/>
              <w:ind w:left="1032"/>
              <w:rPr>
                <w:sz w:val="22"/>
              </w:rPr>
            </w:pPr>
            <w:r>
              <w:rPr>
                <w:sz w:val="22"/>
              </w:rPr>
              <w:t>Zerbinati</w:t>
            </w:r>
          </w:p>
        </w:tc>
        <w:tc>
          <w:tcPr>
            <w:tcW w:w="4223" w:type="dxa"/>
          </w:tcPr>
          <w:p>
            <w:pPr>
              <w:pStyle w:val="TableParagraph"/>
              <w:spacing w:line="211" w:lineRule="exact" w:before="0"/>
              <w:ind w:left="1125"/>
              <w:rPr>
                <w:sz w:val="22"/>
              </w:rPr>
            </w:pPr>
            <w:hyperlink r:id="rId7">
              <w:r>
                <w:rPr>
                  <w:sz w:val="22"/>
                  <w:u w:val="single"/>
                </w:rPr>
                <w:t>nicola.zerbinati@uninsubria.it</w:t>
              </w:r>
            </w:hyperlink>
          </w:p>
        </w:tc>
      </w:tr>
      <w:tr>
        <w:trPr>
          <w:trHeight w:val="509" w:hRule="atLeast"/>
        </w:trPr>
        <w:tc>
          <w:tcPr>
            <w:tcW w:w="1925" w:type="dxa"/>
          </w:tcPr>
          <w:p>
            <w:pPr>
              <w:pStyle w:val="TableParagraph"/>
              <w:rPr>
                <w:sz w:val="22"/>
              </w:rPr>
            </w:pPr>
            <w:r>
              <w:rPr>
                <w:sz w:val="22"/>
              </w:rPr>
              <w:t>Cristina</w:t>
            </w:r>
          </w:p>
        </w:tc>
        <w:tc>
          <w:tcPr>
            <w:tcW w:w="3051" w:type="dxa"/>
          </w:tcPr>
          <w:p>
            <w:pPr>
              <w:pStyle w:val="TableParagraph"/>
              <w:ind w:left="1032"/>
              <w:rPr>
                <w:sz w:val="22"/>
              </w:rPr>
            </w:pPr>
            <w:r>
              <w:rPr>
                <w:sz w:val="22"/>
              </w:rPr>
              <w:t>Esposito</w:t>
            </w:r>
          </w:p>
        </w:tc>
        <w:tc>
          <w:tcPr>
            <w:tcW w:w="4223" w:type="dxa"/>
          </w:tcPr>
          <w:p>
            <w:pPr>
              <w:pStyle w:val="TableParagraph"/>
              <w:ind w:left="1125"/>
              <w:rPr>
                <w:sz w:val="22"/>
              </w:rPr>
            </w:pPr>
            <w:hyperlink r:id="rId8">
              <w:r>
                <w:rPr>
                  <w:sz w:val="22"/>
                  <w:u w:val="single"/>
                </w:rPr>
                <w:t>cesposito@centro-medico.it</w:t>
              </w:r>
            </w:hyperlink>
          </w:p>
        </w:tc>
      </w:tr>
      <w:tr>
        <w:trPr>
          <w:trHeight w:val="510" w:hRule="atLeast"/>
        </w:trPr>
        <w:tc>
          <w:tcPr>
            <w:tcW w:w="1925" w:type="dxa"/>
          </w:tcPr>
          <w:p>
            <w:pPr>
              <w:pStyle w:val="TableParagraph"/>
              <w:rPr>
                <w:sz w:val="22"/>
              </w:rPr>
            </w:pPr>
            <w:r>
              <w:rPr>
                <w:sz w:val="22"/>
              </w:rPr>
              <w:t>Giovanna</w:t>
            </w:r>
          </w:p>
        </w:tc>
        <w:tc>
          <w:tcPr>
            <w:tcW w:w="3051" w:type="dxa"/>
          </w:tcPr>
          <w:p>
            <w:pPr>
              <w:pStyle w:val="TableParagraph"/>
              <w:ind w:left="1032"/>
              <w:rPr>
                <w:sz w:val="22"/>
              </w:rPr>
            </w:pPr>
            <w:r>
              <w:rPr>
                <w:sz w:val="22"/>
              </w:rPr>
              <w:t>Cipolla</w:t>
            </w:r>
          </w:p>
        </w:tc>
        <w:tc>
          <w:tcPr>
            <w:tcW w:w="4223" w:type="dxa"/>
          </w:tcPr>
          <w:p>
            <w:pPr>
              <w:pStyle w:val="TableParagraph"/>
              <w:ind w:left="1125"/>
              <w:rPr>
                <w:sz w:val="22"/>
              </w:rPr>
            </w:pPr>
            <w:hyperlink r:id="rId9">
              <w:r>
                <w:rPr>
                  <w:w w:val="95"/>
                  <w:sz w:val="22"/>
                  <w:u w:val="single"/>
                </w:rPr>
                <w:t>giovannacipolla13@gmail.com</w:t>
              </w:r>
            </w:hyperlink>
          </w:p>
        </w:tc>
      </w:tr>
      <w:tr>
        <w:trPr>
          <w:trHeight w:val="510" w:hRule="atLeast"/>
        </w:trPr>
        <w:tc>
          <w:tcPr>
            <w:tcW w:w="1925" w:type="dxa"/>
          </w:tcPr>
          <w:p>
            <w:pPr>
              <w:pStyle w:val="TableParagraph"/>
              <w:rPr>
                <w:sz w:val="22"/>
              </w:rPr>
            </w:pPr>
            <w:r>
              <w:rPr>
                <w:sz w:val="22"/>
              </w:rPr>
              <w:t>Alberto</w:t>
            </w:r>
          </w:p>
        </w:tc>
        <w:tc>
          <w:tcPr>
            <w:tcW w:w="3051" w:type="dxa"/>
          </w:tcPr>
          <w:p>
            <w:pPr>
              <w:pStyle w:val="TableParagraph"/>
              <w:ind w:left="1032"/>
              <w:rPr>
                <w:sz w:val="22"/>
              </w:rPr>
            </w:pPr>
            <w:r>
              <w:rPr>
                <w:sz w:val="22"/>
              </w:rPr>
              <w:t>Calligaro</w:t>
            </w:r>
          </w:p>
        </w:tc>
        <w:tc>
          <w:tcPr>
            <w:tcW w:w="4223" w:type="dxa"/>
          </w:tcPr>
          <w:p>
            <w:pPr>
              <w:pStyle w:val="TableParagraph"/>
              <w:ind w:left="1125"/>
              <w:rPr>
                <w:sz w:val="22"/>
              </w:rPr>
            </w:pPr>
            <w:hyperlink r:id="rId10">
              <w:r>
                <w:rPr>
                  <w:sz w:val="22"/>
                  <w:u w:val="single"/>
                </w:rPr>
                <w:t>alberto.calligaro@unipv.it</w:t>
              </w:r>
            </w:hyperlink>
          </w:p>
        </w:tc>
      </w:tr>
      <w:tr>
        <w:trPr>
          <w:trHeight w:val="510" w:hRule="atLeast"/>
        </w:trPr>
        <w:tc>
          <w:tcPr>
            <w:tcW w:w="1925" w:type="dxa"/>
          </w:tcPr>
          <w:p>
            <w:pPr>
              <w:pStyle w:val="TableParagraph"/>
              <w:rPr>
                <w:sz w:val="22"/>
              </w:rPr>
            </w:pPr>
            <w:r>
              <w:rPr>
                <w:sz w:val="22"/>
              </w:rPr>
              <w:t>Damiano</w:t>
            </w:r>
          </w:p>
        </w:tc>
        <w:tc>
          <w:tcPr>
            <w:tcW w:w="3051" w:type="dxa"/>
          </w:tcPr>
          <w:p>
            <w:pPr>
              <w:pStyle w:val="TableParagraph"/>
              <w:ind w:left="1032"/>
              <w:rPr>
                <w:sz w:val="22"/>
              </w:rPr>
            </w:pPr>
            <w:r>
              <w:rPr>
                <w:sz w:val="22"/>
              </w:rPr>
              <w:t>Monticelli</w:t>
            </w:r>
          </w:p>
        </w:tc>
        <w:tc>
          <w:tcPr>
            <w:tcW w:w="4223" w:type="dxa"/>
          </w:tcPr>
          <w:p>
            <w:pPr>
              <w:pStyle w:val="TableParagraph"/>
              <w:ind w:left="1125"/>
              <w:rPr>
                <w:sz w:val="22"/>
              </w:rPr>
            </w:pPr>
            <w:hyperlink r:id="rId11">
              <w:r>
                <w:rPr>
                  <w:w w:val="95"/>
                  <w:sz w:val="22"/>
                  <w:u w:val="single"/>
                </w:rPr>
                <w:t>damiano.monticelli@uninsubria.it</w:t>
              </w:r>
            </w:hyperlink>
          </w:p>
        </w:tc>
      </w:tr>
      <w:tr>
        <w:trPr>
          <w:trHeight w:val="509" w:hRule="atLeast"/>
        </w:trPr>
        <w:tc>
          <w:tcPr>
            <w:tcW w:w="1925" w:type="dxa"/>
          </w:tcPr>
          <w:p>
            <w:pPr>
              <w:pStyle w:val="TableParagraph"/>
              <w:rPr>
                <w:sz w:val="22"/>
              </w:rPr>
            </w:pPr>
            <w:r>
              <w:rPr>
                <w:sz w:val="22"/>
              </w:rPr>
              <w:t>Virginia</w:t>
            </w:r>
          </w:p>
        </w:tc>
        <w:tc>
          <w:tcPr>
            <w:tcW w:w="3051" w:type="dxa"/>
          </w:tcPr>
          <w:p>
            <w:pPr>
              <w:pStyle w:val="TableParagraph"/>
              <w:ind w:left="1032"/>
              <w:rPr>
                <w:sz w:val="22"/>
              </w:rPr>
            </w:pPr>
            <w:r>
              <w:rPr>
                <w:sz w:val="22"/>
              </w:rPr>
              <w:t>Martina</w:t>
            </w:r>
          </w:p>
        </w:tc>
        <w:tc>
          <w:tcPr>
            <w:tcW w:w="4223" w:type="dxa"/>
          </w:tcPr>
          <w:p>
            <w:pPr>
              <w:pStyle w:val="TableParagraph"/>
              <w:ind w:left="1125"/>
              <w:rPr>
                <w:sz w:val="22"/>
              </w:rPr>
            </w:pPr>
            <w:hyperlink r:id="rId12">
              <w:r>
                <w:rPr>
                  <w:sz w:val="22"/>
                  <w:u w:val="single"/>
                </w:rPr>
                <w:t>v.martina@matexlab.com</w:t>
              </w:r>
            </w:hyperlink>
          </w:p>
        </w:tc>
      </w:tr>
      <w:tr>
        <w:trPr>
          <w:trHeight w:val="509" w:hRule="atLeast"/>
        </w:trPr>
        <w:tc>
          <w:tcPr>
            <w:tcW w:w="1925" w:type="dxa"/>
          </w:tcPr>
          <w:p>
            <w:pPr>
              <w:pStyle w:val="TableParagraph"/>
              <w:rPr>
                <w:sz w:val="22"/>
              </w:rPr>
            </w:pPr>
            <w:r>
              <w:rPr>
                <w:sz w:val="22"/>
              </w:rPr>
              <w:t>Anna</w:t>
            </w:r>
          </w:p>
        </w:tc>
        <w:tc>
          <w:tcPr>
            <w:tcW w:w="3051" w:type="dxa"/>
          </w:tcPr>
          <w:p>
            <w:pPr>
              <w:pStyle w:val="TableParagraph"/>
              <w:ind w:left="1032"/>
              <w:rPr>
                <w:sz w:val="22"/>
              </w:rPr>
            </w:pPr>
            <w:r>
              <w:rPr>
                <w:sz w:val="22"/>
              </w:rPr>
              <w:t>Gallo</w:t>
            </w:r>
          </w:p>
        </w:tc>
        <w:tc>
          <w:tcPr>
            <w:tcW w:w="4223" w:type="dxa"/>
          </w:tcPr>
          <w:p>
            <w:pPr>
              <w:pStyle w:val="TableParagraph"/>
              <w:ind w:left="1125"/>
              <w:rPr>
                <w:sz w:val="22"/>
              </w:rPr>
            </w:pPr>
            <w:hyperlink r:id="rId13">
              <w:r>
                <w:rPr>
                  <w:sz w:val="22"/>
                  <w:u w:val="single"/>
                </w:rPr>
                <w:t>a.gallo@matexlab.com</w:t>
              </w:r>
            </w:hyperlink>
          </w:p>
        </w:tc>
      </w:tr>
      <w:tr>
        <w:trPr>
          <w:trHeight w:val="510" w:hRule="atLeast"/>
        </w:trPr>
        <w:tc>
          <w:tcPr>
            <w:tcW w:w="1925" w:type="dxa"/>
          </w:tcPr>
          <w:p>
            <w:pPr>
              <w:pStyle w:val="TableParagraph"/>
              <w:rPr>
                <w:sz w:val="22"/>
              </w:rPr>
            </w:pPr>
            <w:r>
              <w:rPr>
                <w:sz w:val="22"/>
              </w:rPr>
              <w:t>Edoardo</w:t>
            </w:r>
          </w:p>
        </w:tc>
        <w:tc>
          <w:tcPr>
            <w:tcW w:w="3051" w:type="dxa"/>
          </w:tcPr>
          <w:p>
            <w:pPr>
              <w:pStyle w:val="TableParagraph"/>
              <w:ind w:left="1032"/>
              <w:rPr>
                <w:sz w:val="22"/>
              </w:rPr>
            </w:pPr>
            <w:r>
              <w:rPr>
                <w:sz w:val="22"/>
              </w:rPr>
              <w:t>D'Este</w:t>
            </w:r>
          </w:p>
        </w:tc>
        <w:tc>
          <w:tcPr>
            <w:tcW w:w="4223" w:type="dxa"/>
          </w:tcPr>
          <w:p>
            <w:pPr>
              <w:pStyle w:val="TableParagraph"/>
              <w:ind w:left="1125"/>
              <w:rPr>
                <w:sz w:val="22"/>
              </w:rPr>
            </w:pPr>
            <w:hyperlink r:id="rId14">
              <w:r>
                <w:rPr>
                  <w:sz w:val="22"/>
                  <w:u w:val="single"/>
                </w:rPr>
                <w:t>edeste@centro-medico.it</w:t>
              </w:r>
            </w:hyperlink>
          </w:p>
        </w:tc>
      </w:tr>
      <w:tr>
        <w:trPr>
          <w:trHeight w:val="510" w:hRule="atLeast"/>
        </w:trPr>
        <w:tc>
          <w:tcPr>
            <w:tcW w:w="1925" w:type="dxa"/>
          </w:tcPr>
          <w:p>
            <w:pPr>
              <w:pStyle w:val="TableParagraph"/>
              <w:rPr>
                <w:sz w:val="22"/>
              </w:rPr>
            </w:pPr>
            <w:r>
              <w:rPr>
                <w:sz w:val="22"/>
              </w:rPr>
              <w:t>Marina</w:t>
            </w:r>
          </w:p>
        </w:tc>
        <w:tc>
          <w:tcPr>
            <w:tcW w:w="3051" w:type="dxa"/>
          </w:tcPr>
          <w:p>
            <w:pPr>
              <w:pStyle w:val="TableParagraph"/>
              <w:ind w:left="1032"/>
              <w:rPr>
                <w:sz w:val="22"/>
              </w:rPr>
            </w:pPr>
            <w:r>
              <w:rPr>
                <w:sz w:val="22"/>
              </w:rPr>
              <w:t>Protasoni</w:t>
            </w:r>
          </w:p>
        </w:tc>
        <w:tc>
          <w:tcPr>
            <w:tcW w:w="4223" w:type="dxa"/>
          </w:tcPr>
          <w:p>
            <w:pPr>
              <w:pStyle w:val="TableParagraph"/>
              <w:ind w:left="1125"/>
              <w:rPr>
                <w:sz w:val="22"/>
              </w:rPr>
            </w:pPr>
            <w:hyperlink r:id="rId15">
              <w:r>
                <w:rPr>
                  <w:w w:val="95"/>
                  <w:sz w:val="22"/>
                  <w:u w:val="single"/>
                </w:rPr>
                <w:t>marina.protasoni@uninsubria.it</w:t>
              </w:r>
            </w:hyperlink>
          </w:p>
        </w:tc>
      </w:tr>
      <w:tr>
        <w:trPr>
          <w:trHeight w:val="510" w:hRule="atLeast"/>
        </w:trPr>
        <w:tc>
          <w:tcPr>
            <w:tcW w:w="1925" w:type="dxa"/>
          </w:tcPr>
          <w:p>
            <w:pPr>
              <w:pStyle w:val="TableParagraph"/>
              <w:rPr>
                <w:sz w:val="22"/>
              </w:rPr>
            </w:pPr>
            <w:r>
              <w:rPr>
                <w:sz w:val="22"/>
              </w:rPr>
              <w:t>Fabiola</w:t>
            </w:r>
          </w:p>
        </w:tc>
        <w:tc>
          <w:tcPr>
            <w:tcW w:w="3051" w:type="dxa"/>
          </w:tcPr>
          <w:p>
            <w:pPr>
              <w:pStyle w:val="TableParagraph"/>
              <w:ind w:left="1032"/>
              <w:rPr>
                <w:sz w:val="22"/>
              </w:rPr>
            </w:pPr>
            <w:r>
              <w:rPr>
                <w:sz w:val="22"/>
              </w:rPr>
              <w:t>Sangalli</w:t>
            </w:r>
          </w:p>
        </w:tc>
        <w:tc>
          <w:tcPr>
            <w:tcW w:w="4223" w:type="dxa"/>
          </w:tcPr>
          <w:p>
            <w:pPr>
              <w:pStyle w:val="TableParagraph"/>
              <w:ind w:left="1125"/>
              <w:rPr>
                <w:sz w:val="22"/>
              </w:rPr>
            </w:pPr>
            <w:hyperlink r:id="rId16">
              <w:r>
                <w:rPr>
                  <w:sz w:val="22"/>
                  <w:u w:val="single"/>
                </w:rPr>
                <w:t>fabi-92@live.it</w:t>
              </w:r>
            </w:hyperlink>
          </w:p>
        </w:tc>
      </w:tr>
      <w:tr>
        <w:trPr>
          <w:trHeight w:val="525" w:hRule="atLeast"/>
        </w:trPr>
        <w:tc>
          <w:tcPr>
            <w:tcW w:w="1925" w:type="dxa"/>
          </w:tcPr>
          <w:p>
            <w:pPr>
              <w:pStyle w:val="TableParagraph"/>
              <w:rPr>
                <w:sz w:val="22"/>
              </w:rPr>
            </w:pPr>
            <w:r>
              <w:rPr>
                <w:sz w:val="22"/>
              </w:rPr>
              <w:t>Raffaele</w:t>
            </w:r>
          </w:p>
        </w:tc>
        <w:tc>
          <w:tcPr>
            <w:tcW w:w="3051" w:type="dxa"/>
          </w:tcPr>
          <w:p>
            <w:pPr>
              <w:pStyle w:val="TableParagraph"/>
              <w:ind w:left="1032"/>
              <w:rPr>
                <w:sz w:val="22"/>
              </w:rPr>
            </w:pPr>
            <w:r>
              <w:rPr>
                <w:w w:val="95"/>
                <w:sz w:val="22"/>
              </w:rPr>
              <w:t>Rauso</w:t>
            </w:r>
          </w:p>
        </w:tc>
        <w:tc>
          <w:tcPr>
            <w:tcW w:w="4223" w:type="dxa"/>
          </w:tcPr>
          <w:p>
            <w:pPr>
              <w:pStyle w:val="TableParagraph"/>
              <w:ind w:left="1125"/>
              <w:rPr>
                <w:sz w:val="22"/>
              </w:rPr>
            </w:pPr>
            <w:hyperlink r:id="rId17">
              <w:r>
                <w:rPr>
                  <w:sz w:val="22"/>
                  <w:u w:val="single"/>
                </w:rPr>
                <w:t>dr.raffaele.rauso@gmail.com</w:t>
              </w:r>
            </w:hyperlink>
          </w:p>
        </w:tc>
      </w:tr>
      <w:tr>
        <w:trPr>
          <w:trHeight w:val="525" w:hRule="atLeast"/>
        </w:trPr>
        <w:tc>
          <w:tcPr>
            <w:tcW w:w="1925" w:type="dxa"/>
          </w:tcPr>
          <w:p>
            <w:pPr>
              <w:pStyle w:val="TableParagraph"/>
              <w:spacing w:before="118"/>
              <w:rPr>
                <w:sz w:val="22"/>
              </w:rPr>
            </w:pPr>
            <w:r>
              <w:rPr>
                <w:sz w:val="22"/>
              </w:rPr>
              <w:t>Torello</w:t>
            </w:r>
          </w:p>
        </w:tc>
        <w:tc>
          <w:tcPr>
            <w:tcW w:w="3051" w:type="dxa"/>
          </w:tcPr>
          <w:p>
            <w:pPr>
              <w:pStyle w:val="TableParagraph"/>
              <w:spacing w:before="118"/>
              <w:ind w:left="1030"/>
              <w:rPr>
                <w:sz w:val="22"/>
              </w:rPr>
            </w:pPr>
            <w:r>
              <w:rPr>
                <w:w w:val="105"/>
                <w:sz w:val="22"/>
              </w:rPr>
              <w:t>Lotti</w:t>
            </w:r>
          </w:p>
        </w:tc>
        <w:tc>
          <w:tcPr>
            <w:tcW w:w="4223" w:type="dxa"/>
          </w:tcPr>
          <w:p>
            <w:pPr>
              <w:pStyle w:val="TableParagraph"/>
              <w:spacing w:before="118"/>
              <w:ind w:left="1123"/>
              <w:rPr>
                <w:sz w:val="22"/>
              </w:rPr>
            </w:pPr>
            <w:hyperlink r:id="rId18">
              <w:r>
                <w:rPr>
                  <w:sz w:val="22"/>
                  <w:u w:val="single"/>
                </w:rPr>
                <w:t>professor@torellolotti.it</w:t>
              </w:r>
            </w:hyperlink>
          </w:p>
        </w:tc>
      </w:tr>
      <w:tr>
        <w:trPr>
          <w:trHeight w:val="509" w:hRule="atLeast"/>
        </w:trPr>
        <w:tc>
          <w:tcPr>
            <w:tcW w:w="1925" w:type="dxa"/>
          </w:tcPr>
          <w:p>
            <w:pPr>
              <w:pStyle w:val="TableParagraph"/>
              <w:rPr>
                <w:sz w:val="22"/>
              </w:rPr>
            </w:pPr>
            <w:r>
              <w:rPr>
                <w:sz w:val="22"/>
              </w:rPr>
              <w:t>Masa</w:t>
            </w:r>
          </w:p>
        </w:tc>
        <w:tc>
          <w:tcPr>
            <w:tcW w:w="3051" w:type="dxa"/>
          </w:tcPr>
          <w:p>
            <w:pPr>
              <w:pStyle w:val="TableParagraph"/>
              <w:ind w:left="1030"/>
              <w:rPr>
                <w:sz w:val="22"/>
              </w:rPr>
            </w:pPr>
            <w:r>
              <w:rPr>
                <w:sz w:val="22"/>
              </w:rPr>
              <w:t>Golubovic</w:t>
            </w:r>
          </w:p>
        </w:tc>
        <w:tc>
          <w:tcPr>
            <w:tcW w:w="4223" w:type="dxa"/>
          </w:tcPr>
          <w:p>
            <w:pPr>
              <w:pStyle w:val="TableParagraph"/>
              <w:ind w:left="1123"/>
              <w:rPr>
                <w:sz w:val="22"/>
              </w:rPr>
            </w:pPr>
            <w:hyperlink r:id="rId19">
              <w:r>
                <w:rPr>
                  <w:sz w:val="22"/>
                </w:rPr>
                <w:t>masabinic@gmail.com</w:t>
              </w:r>
            </w:hyperlink>
          </w:p>
        </w:tc>
      </w:tr>
      <w:tr>
        <w:trPr>
          <w:trHeight w:val="364" w:hRule="atLeast"/>
        </w:trPr>
        <w:tc>
          <w:tcPr>
            <w:tcW w:w="1925" w:type="dxa"/>
          </w:tcPr>
          <w:p>
            <w:pPr>
              <w:pStyle w:val="TableParagraph"/>
              <w:spacing w:line="241" w:lineRule="exact"/>
              <w:rPr>
                <w:sz w:val="22"/>
              </w:rPr>
            </w:pPr>
            <w:r>
              <w:rPr>
                <w:sz w:val="22"/>
              </w:rPr>
              <w:t>Iva</w:t>
            </w:r>
          </w:p>
        </w:tc>
        <w:tc>
          <w:tcPr>
            <w:tcW w:w="3051" w:type="dxa"/>
          </w:tcPr>
          <w:p>
            <w:pPr>
              <w:pStyle w:val="TableParagraph"/>
              <w:spacing w:line="241" w:lineRule="exact"/>
              <w:ind w:left="1030"/>
              <w:rPr>
                <w:sz w:val="22"/>
              </w:rPr>
            </w:pPr>
            <w:r>
              <w:rPr>
                <w:sz w:val="22"/>
              </w:rPr>
              <w:t>Binic</w:t>
            </w:r>
          </w:p>
        </w:tc>
        <w:tc>
          <w:tcPr>
            <w:tcW w:w="4223" w:type="dxa"/>
          </w:tcPr>
          <w:p>
            <w:pPr>
              <w:pStyle w:val="TableParagraph"/>
              <w:spacing w:line="241" w:lineRule="exact"/>
              <w:ind w:left="1123"/>
              <w:rPr>
                <w:sz w:val="22"/>
              </w:rPr>
            </w:pPr>
            <w:hyperlink r:id="rId20">
              <w:r>
                <w:rPr>
                  <w:sz w:val="22"/>
                </w:rPr>
                <w:t>ivabinic@gmal.com</w:t>
              </w:r>
            </w:hyperlink>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6"/>
        </w:rPr>
      </w:pPr>
      <w:r>
        <w:rPr/>
        <w:pict>
          <v:shape style="position:absolute;margin-left:56.939999pt;margin-top:11.840859pt;width:481.95pt;height:52.15pt;mso-position-horizontal-relative:page;mso-position-vertical-relative:paragraph;z-index:-15728640;mso-wrap-distance-left:0;mso-wrap-distance-right:0" type="#_x0000_t202" filled="false" stroked="true" strokeweight=".48pt" strokecolor="#000000">
            <v:textbox inset="0,0,0,0">
              <w:txbxContent>
                <w:p>
                  <w:pPr>
                    <w:spacing w:line="244" w:lineRule="auto" w:before="3"/>
                    <w:ind w:left="103" w:right="103" w:firstLine="0"/>
                    <w:jc w:val="both"/>
                    <w:rPr>
                      <w:sz w:val="22"/>
                    </w:rPr>
                  </w:pPr>
                  <w:hyperlink r:id="rId21">
                    <w:r>
                      <w:rPr>
                        <w:w w:val="110"/>
                        <w:sz w:val="22"/>
                      </w:rPr>
                      <w:t>This article has been accepted for publication and undergone full peer review but has not been</w:t>
                    </w:r>
                  </w:hyperlink>
                  <w:r>
                    <w:rPr>
                      <w:w w:val="110"/>
                      <w:sz w:val="22"/>
                    </w:rPr>
                    <w:t> </w:t>
                  </w:r>
                  <w:hyperlink r:id="rId21">
                    <w:r>
                      <w:rPr>
                        <w:w w:val="110"/>
                        <w:sz w:val="22"/>
                      </w:rPr>
                      <w:t>through the copyediting, typesetting, pagination and proofreading process which may lead to</w:t>
                    </w:r>
                  </w:hyperlink>
                  <w:r>
                    <w:rPr>
                      <w:w w:val="110"/>
                      <w:sz w:val="22"/>
                    </w:rPr>
                    <w:t> </w:t>
                  </w:r>
                  <w:hyperlink r:id="rId21">
                    <w:r>
                      <w:rPr>
                        <w:w w:val="110"/>
                        <w:sz w:val="22"/>
                      </w:rPr>
                      <w:t>differences between this version and the Version of Record. Please cite this article as doi:</w:t>
                    </w:r>
                  </w:hyperlink>
                  <w:r>
                    <w:rPr>
                      <w:w w:val="110"/>
                      <w:sz w:val="22"/>
                    </w:rPr>
                    <w:t> </w:t>
                  </w:r>
                  <w:hyperlink r:id="rId21">
                    <w:r>
                      <w:rPr>
                        <w:w w:val="110"/>
                        <w:sz w:val="22"/>
                      </w:rPr>
                      <w:t>10.1111/dth.13747</w:t>
                    </w:r>
                  </w:hyperlink>
                </w:p>
              </w:txbxContent>
            </v:textbox>
            <v:stroke dashstyle="solid"/>
            <w10:wrap type="topAndBottom"/>
          </v:shape>
        </w:pict>
      </w:r>
    </w:p>
    <w:p>
      <w:pPr>
        <w:spacing w:after="0"/>
        <w:rPr>
          <w:sz w:val="16"/>
        </w:rPr>
        <w:sectPr>
          <w:footerReference w:type="default" r:id="rId5"/>
          <w:type w:val="continuous"/>
          <w:pgSz w:w="11910" w:h="16840"/>
          <w:pgMar w:footer="367" w:top="1320" w:bottom="560" w:left="20" w:right="1020"/>
        </w:sectPr>
      </w:pPr>
    </w:p>
    <w:tbl>
      <w:tblPr>
        <w:tblW w:w="0" w:type="auto"/>
        <w:jc w:val="left"/>
        <w:tblInd w:w="1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43"/>
        <w:gridCol w:w="2821"/>
        <w:gridCol w:w="3866"/>
      </w:tblGrid>
      <w:tr>
        <w:trPr>
          <w:trHeight w:val="364" w:hRule="atLeast"/>
        </w:trPr>
        <w:tc>
          <w:tcPr>
            <w:tcW w:w="2043" w:type="dxa"/>
          </w:tcPr>
          <w:p>
            <w:pPr>
              <w:pStyle w:val="TableParagraph"/>
              <w:spacing w:line="204" w:lineRule="exact" w:before="0"/>
              <w:rPr>
                <w:sz w:val="22"/>
              </w:rPr>
            </w:pPr>
            <w:r>
              <w:rPr>
                <w:sz w:val="22"/>
              </w:rPr>
              <w:t>Julia</w:t>
            </w:r>
          </w:p>
        </w:tc>
        <w:tc>
          <w:tcPr>
            <w:tcW w:w="2821" w:type="dxa"/>
          </w:tcPr>
          <w:p>
            <w:pPr>
              <w:pStyle w:val="TableParagraph"/>
              <w:spacing w:line="204" w:lineRule="exact" w:before="0"/>
              <w:ind w:left="912"/>
              <w:rPr>
                <w:sz w:val="22"/>
              </w:rPr>
            </w:pPr>
            <w:r>
              <w:rPr>
                <w:w w:val="95"/>
                <w:sz w:val="22"/>
              </w:rPr>
              <w:t>Sigova</w:t>
            </w:r>
          </w:p>
        </w:tc>
        <w:tc>
          <w:tcPr>
            <w:tcW w:w="3866" w:type="dxa"/>
          </w:tcPr>
          <w:p>
            <w:pPr>
              <w:pStyle w:val="TableParagraph"/>
              <w:spacing w:line="204" w:lineRule="exact" w:before="0"/>
              <w:ind w:left="1235"/>
              <w:rPr>
                <w:sz w:val="22"/>
              </w:rPr>
            </w:pPr>
            <w:hyperlink r:id="rId22">
              <w:r>
                <w:rPr>
                  <w:sz w:val="22"/>
                </w:rPr>
                <w:t>sigovay@gmail.com</w:t>
              </w:r>
            </w:hyperlink>
          </w:p>
        </w:tc>
      </w:tr>
      <w:tr>
        <w:trPr>
          <w:trHeight w:val="510" w:hRule="atLeast"/>
        </w:trPr>
        <w:tc>
          <w:tcPr>
            <w:tcW w:w="2043" w:type="dxa"/>
          </w:tcPr>
          <w:p>
            <w:pPr>
              <w:pStyle w:val="TableParagraph"/>
              <w:spacing w:before="96"/>
              <w:rPr>
                <w:sz w:val="22"/>
              </w:rPr>
            </w:pPr>
            <w:r>
              <w:rPr>
                <w:sz w:val="22"/>
              </w:rPr>
              <w:t>Michael</w:t>
            </w:r>
          </w:p>
        </w:tc>
        <w:tc>
          <w:tcPr>
            <w:tcW w:w="2821" w:type="dxa"/>
          </w:tcPr>
          <w:p>
            <w:pPr>
              <w:pStyle w:val="TableParagraph"/>
              <w:spacing w:before="96"/>
              <w:ind w:left="912"/>
              <w:rPr>
                <w:sz w:val="22"/>
              </w:rPr>
            </w:pPr>
            <w:r>
              <w:rPr>
                <w:sz w:val="22"/>
              </w:rPr>
              <w:t>Tirant</w:t>
            </w:r>
          </w:p>
        </w:tc>
        <w:tc>
          <w:tcPr>
            <w:tcW w:w="3866" w:type="dxa"/>
          </w:tcPr>
          <w:p>
            <w:pPr>
              <w:pStyle w:val="TableParagraph"/>
              <w:spacing w:before="96"/>
              <w:ind w:left="1235"/>
              <w:rPr>
                <w:sz w:val="22"/>
              </w:rPr>
            </w:pPr>
            <w:hyperlink r:id="rId23">
              <w:r>
                <w:rPr>
                  <w:w w:val="90"/>
                  <w:sz w:val="22"/>
                </w:rPr>
                <w:t>drmichael@psoriasis.com.au</w:t>
              </w:r>
            </w:hyperlink>
          </w:p>
        </w:tc>
      </w:tr>
      <w:tr>
        <w:trPr>
          <w:trHeight w:val="364" w:hRule="atLeast"/>
        </w:trPr>
        <w:tc>
          <w:tcPr>
            <w:tcW w:w="2043" w:type="dxa"/>
          </w:tcPr>
          <w:p>
            <w:pPr>
              <w:pStyle w:val="TableParagraph"/>
              <w:spacing w:line="248" w:lineRule="exact" w:before="96"/>
              <w:rPr>
                <w:sz w:val="22"/>
              </w:rPr>
            </w:pPr>
            <w:r>
              <w:rPr>
                <w:sz w:val="22"/>
              </w:rPr>
              <w:t>Nguyen Van</w:t>
            </w:r>
          </w:p>
        </w:tc>
        <w:tc>
          <w:tcPr>
            <w:tcW w:w="2821" w:type="dxa"/>
          </w:tcPr>
          <w:p>
            <w:pPr>
              <w:pStyle w:val="TableParagraph"/>
              <w:spacing w:line="248" w:lineRule="exact" w:before="96"/>
              <w:ind w:left="912"/>
              <w:rPr>
                <w:sz w:val="22"/>
              </w:rPr>
            </w:pPr>
            <w:r>
              <w:rPr>
                <w:sz w:val="22"/>
              </w:rPr>
              <w:t>Thuong</w:t>
            </w:r>
          </w:p>
        </w:tc>
        <w:tc>
          <w:tcPr>
            <w:tcW w:w="3866" w:type="dxa"/>
          </w:tcPr>
          <w:p>
            <w:pPr>
              <w:pStyle w:val="TableParagraph"/>
              <w:spacing w:before="0"/>
              <w:ind w:left="0"/>
              <w:rPr>
                <w:rFonts w:ascii="Times New Roman"/>
                <w:sz w:val="22"/>
              </w:rPr>
            </w:pP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3"/>
        </w:rPr>
      </w:pPr>
    </w:p>
    <w:p>
      <w:pPr>
        <w:pStyle w:val="BodyText"/>
        <w:spacing w:before="90"/>
        <w:ind w:left="1114"/>
      </w:pPr>
      <w:r>
        <w:rPr/>
        <w:drawing>
          <wp:anchor distT="0" distB="0" distL="0" distR="0" allowOverlap="1" layoutInCell="1" locked="0" behindDoc="1" simplePos="0" relativeHeight="487250432">
            <wp:simplePos x="0" y="0"/>
            <wp:positionH relativeFrom="page">
              <wp:posOffset>12700</wp:posOffset>
            </wp:positionH>
            <wp:positionV relativeFrom="paragraph">
              <wp:posOffset>-994751</wp:posOffset>
            </wp:positionV>
            <wp:extent cx="876173" cy="6234938"/>
            <wp:effectExtent l="0" t="0" r="0" b="0"/>
            <wp:wrapNone/>
            <wp:docPr id="3" name="image1.png"/>
            <wp:cNvGraphicFramePr>
              <a:graphicFrameLocks noChangeAspect="1"/>
            </wp:cNvGraphicFramePr>
            <a:graphic>
              <a:graphicData uri="http://schemas.openxmlformats.org/drawingml/2006/picture">
                <pic:pic>
                  <pic:nvPicPr>
                    <pic:cNvPr id="4" name="image1.png"/>
                    <pic:cNvPicPr/>
                  </pic:nvPicPr>
                  <pic:blipFill>
                    <a:blip r:embed="rId6" cstate="print"/>
                    <a:stretch>
                      <a:fillRect/>
                    </a:stretch>
                  </pic:blipFill>
                  <pic:spPr>
                    <a:xfrm>
                      <a:off x="0" y="0"/>
                      <a:ext cx="876173" cy="6234938"/>
                    </a:xfrm>
                    <a:prstGeom prst="rect">
                      <a:avLst/>
                    </a:prstGeom>
                  </pic:spPr>
                </pic:pic>
              </a:graphicData>
            </a:graphic>
          </wp:anchor>
        </w:drawing>
      </w:r>
      <w:r>
        <w:rPr/>
        <w:t>¹ University of Insubria, Department of Medicine and Surgery, Varese, Italy.</w:t>
      </w:r>
    </w:p>
    <w:p>
      <w:pPr>
        <w:pStyle w:val="BodyText"/>
      </w:pPr>
    </w:p>
    <w:p>
      <w:pPr>
        <w:pStyle w:val="BodyText"/>
        <w:ind w:left="1114"/>
      </w:pPr>
      <w:r>
        <w:rPr/>
        <w:t>² Centro Medico Polispecialistico, Pavia, Italy.</w:t>
      </w:r>
    </w:p>
    <w:p>
      <w:pPr>
        <w:pStyle w:val="BodyText"/>
      </w:pPr>
    </w:p>
    <w:p>
      <w:pPr>
        <w:pStyle w:val="BodyText"/>
        <w:ind w:left="1114"/>
      </w:pPr>
      <w:r>
        <w:rPr>
          <w:vertAlign w:val="superscript"/>
        </w:rPr>
        <w:t>3</w:t>
      </w:r>
      <w:r>
        <w:rPr>
          <w:vertAlign w:val="baseline"/>
        </w:rPr>
        <w:t> University of Pavia, Department of Public Health, Experimental and Forensic Medicine</w:t>
      </w:r>
    </w:p>
    <w:p>
      <w:pPr>
        <w:pStyle w:val="BodyText"/>
      </w:pPr>
    </w:p>
    <w:p>
      <w:pPr>
        <w:pStyle w:val="BodyText"/>
        <w:ind w:left="1114"/>
      </w:pPr>
      <w:r>
        <w:rPr>
          <w:vertAlign w:val="superscript"/>
        </w:rPr>
        <w:t>4</w:t>
      </w:r>
      <w:r>
        <w:rPr>
          <w:vertAlign w:val="baseline"/>
        </w:rPr>
        <w:t> University of Insubria, Department of Science and High Technology, Como, Italy</w:t>
      </w:r>
    </w:p>
    <w:p>
      <w:pPr>
        <w:pStyle w:val="BodyText"/>
      </w:pPr>
    </w:p>
    <w:p>
      <w:pPr>
        <w:pStyle w:val="BodyText"/>
        <w:ind w:left="1114"/>
      </w:pPr>
      <w:r>
        <w:rPr>
          <w:vertAlign w:val="superscript"/>
        </w:rPr>
        <w:t>5</w:t>
      </w:r>
      <w:r>
        <w:rPr>
          <w:vertAlign w:val="baseline"/>
        </w:rPr>
        <w:t> Matex Lab S.p.A., Brindisi, Italy</w:t>
      </w:r>
    </w:p>
    <w:p>
      <w:pPr>
        <w:pStyle w:val="BodyText"/>
      </w:pPr>
    </w:p>
    <w:p>
      <w:pPr>
        <w:pStyle w:val="BodyText"/>
        <w:ind w:left="1114"/>
      </w:pPr>
      <w:r>
        <w:rPr>
          <w:vertAlign w:val="superscript"/>
        </w:rPr>
        <w:t>6</w:t>
      </w:r>
      <w:r>
        <w:rPr>
          <w:vertAlign w:val="baseline"/>
        </w:rPr>
        <w:t> Department of Dermatology, Clinical Center University of Nis, Serbia</w:t>
      </w:r>
    </w:p>
    <w:p>
      <w:pPr>
        <w:pStyle w:val="BodyText"/>
        <w:spacing w:before="10"/>
        <w:rPr>
          <w:sz w:val="23"/>
        </w:rPr>
      </w:pPr>
    </w:p>
    <w:p>
      <w:pPr>
        <w:pStyle w:val="BodyText"/>
        <w:ind w:left="1114"/>
      </w:pPr>
      <w:r>
        <w:rPr>
          <w:vertAlign w:val="superscript"/>
        </w:rPr>
        <w:t>7</w:t>
      </w:r>
      <w:r>
        <w:rPr>
          <w:vertAlign w:val="baseline"/>
        </w:rPr>
        <w:t> Department of Psychiatry, Clinical Center, University of Nis, Serbia</w:t>
      </w:r>
    </w:p>
    <w:p>
      <w:pPr>
        <w:pStyle w:val="BodyText"/>
      </w:pPr>
    </w:p>
    <w:p>
      <w:pPr>
        <w:pStyle w:val="BodyText"/>
        <w:spacing w:line="480" w:lineRule="auto"/>
        <w:ind w:left="1113" w:right="965"/>
      </w:pPr>
      <w:r>
        <w:rPr>
          <w:vertAlign w:val="superscript"/>
        </w:rPr>
        <w:t>8</w:t>
      </w:r>
      <w:r>
        <w:rPr>
          <w:vertAlign w:val="baseline"/>
        </w:rPr>
        <w:t> Department of Neonatology, Faculty of Continued Medical Education of Pirogov Russian National Research Medical University, Moscow,</w:t>
      </w:r>
      <w:r>
        <w:rPr>
          <w:spacing w:val="-3"/>
          <w:vertAlign w:val="baseline"/>
        </w:rPr>
        <w:t> </w:t>
      </w:r>
      <w:r>
        <w:rPr>
          <w:vertAlign w:val="baseline"/>
        </w:rPr>
        <w:t>Russia</w:t>
      </w:r>
    </w:p>
    <w:p>
      <w:pPr>
        <w:pStyle w:val="BodyText"/>
        <w:ind w:left="1114"/>
      </w:pPr>
      <w:r>
        <w:rPr>
          <w:vertAlign w:val="superscript"/>
        </w:rPr>
        <w:t>9</w:t>
      </w:r>
      <w:r>
        <w:rPr>
          <w:vertAlign w:val="baseline"/>
        </w:rPr>
        <w:t>Central Michigan University, Saginaw, Michigan</w:t>
      </w:r>
      <w:r>
        <w:rPr>
          <w:spacing w:val="-15"/>
          <w:vertAlign w:val="baseline"/>
        </w:rPr>
        <w:t> </w:t>
      </w:r>
      <w:r>
        <w:rPr>
          <w:vertAlign w:val="baseline"/>
        </w:rPr>
        <w:t>USA</w:t>
      </w:r>
    </w:p>
    <w:p>
      <w:pPr>
        <w:pStyle w:val="BodyText"/>
      </w:pPr>
    </w:p>
    <w:p>
      <w:pPr>
        <w:pStyle w:val="BodyText"/>
        <w:spacing w:before="1"/>
        <w:ind w:left="1114"/>
      </w:pPr>
      <w:r>
        <w:rPr>
          <w:vertAlign w:val="superscript"/>
        </w:rPr>
        <w:t>10</w:t>
      </w:r>
      <w:r>
        <w:rPr>
          <w:vertAlign w:val="baseline"/>
        </w:rPr>
        <w:t> Hanoi Medical University, Department of Dermatology, Hanoi, Vietnam</w:t>
      </w:r>
    </w:p>
    <w:p>
      <w:pPr>
        <w:pStyle w:val="BodyText"/>
        <w:spacing w:before="11"/>
        <w:rPr>
          <w:sz w:val="23"/>
        </w:rPr>
      </w:pPr>
    </w:p>
    <w:p>
      <w:pPr>
        <w:pStyle w:val="BodyText"/>
        <w:ind w:left="1114"/>
      </w:pPr>
      <w:r>
        <w:rPr>
          <w:vertAlign w:val="superscript"/>
        </w:rPr>
        <w:t>11</w:t>
      </w:r>
      <w:r>
        <w:rPr>
          <w:vertAlign w:val="baseline"/>
        </w:rPr>
        <w:t> Maxillofacial Surgery Unit, University of Campania “Luigi Vanvitelli”, Naples, Italy</w:t>
      </w:r>
    </w:p>
    <w:p>
      <w:pPr>
        <w:pStyle w:val="BodyText"/>
        <w:spacing w:before="1"/>
      </w:pPr>
    </w:p>
    <w:p>
      <w:pPr>
        <w:pStyle w:val="BodyText"/>
        <w:ind w:left="1114"/>
      </w:pPr>
      <w:r>
        <w:rPr>
          <w:vertAlign w:val="superscript"/>
        </w:rPr>
        <w:t>12</w:t>
      </w:r>
      <w:r>
        <w:rPr>
          <w:vertAlign w:val="baseline"/>
        </w:rPr>
        <w:t> Department of Dermatology, University of Rome G. Marconi, Rome, Italy</w:t>
      </w:r>
    </w:p>
    <w:p>
      <w:pPr>
        <w:pStyle w:val="BodyText"/>
        <w:rPr>
          <w:sz w:val="20"/>
        </w:rPr>
      </w:pPr>
    </w:p>
    <w:p>
      <w:pPr>
        <w:pStyle w:val="BodyText"/>
        <w:spacing w:before="5"/>
        <w:rPr>
          <w:sz w:val="19"/>
        </w:rPr>
      </w:pPr>
    </w:p>
    <w:p>
      <w:pPr>
        <w:pStyle w:val="Heading1"/>
        <w:spacing w:before="90"/>
        <w:ind w:left="1485"/>
      </w:pPr>
      <w:r>
        <w:rPr/>
        <w:t>Corresponding Author</w:t>
      </w:r>
    </w:p>
    <w:p>
      <w:pPr>
        <w:pStyle w:val="BodyText"/>
        <w:spacing w:before="10"/>
        <w:rPr>
          <w:b/>
          <w:sz w:val="23"/>
        </w:rPr>
      </w:pPr>
    </w:p>
    <w:p>
      <w:pPr>
        <w:pStyle w:val="BodyText"/>
        <w:ind w:left="1485"/>
      </w:pPr>
      <w:r>
        <w:rPr/>
        <w:t>Mohammad Jafferany, MD</w:t>
      </w:r>
    </w:p>
    <w:p>
      <w:pPr>
        <w:spacing w:after="0"/>
        <w:sectPr>
          <w:pgSz w:w="11910" w:h="16840"/>
          <w:pgMar w:header="0" w:footer="367" w:top="1480" w:bottom="560" w:left="20" w:right="1020"/>
        </w:sectPr>
      </w:pPr>
    </w:p>
    <w:p>
      <w:pPr>
        <w:pStyle w:val="BodyText"/>
        <w:spacing w:before="11"/>
        <w:rPr>
          <w:sz w:val="14"/>
        </w:rPr>
      </w:pPr>
    </w:p>
    <w:p>
      <w:pPr>
        <w:pStyle w:val="Heading1"/>
        <w:spacing w:before="90"/>
      </w:pPr>
      <w:bookmarkStart w:name="ABSTRACT" w:id="2"/>
      <w:bookmarkEnd w:id="2"/>
      <w:r>
        <w:rPr>
          <w:b w:val="0"/>
        </w:rPr>
      </w:r>
      <w:r>
        <w:rPr/>
        <w:t>ABSTRACT</w:t>
      </w:r>
    </w:p>
    <w:p>
      <w:pPr>
        <w:pStyle w:val="BodyText"/>
        <w:rPr>
          <w:b/>
          <w:sz w:val="26"/>
        </w:rPr>
      </w:pPr>
    </w:p>
    <w:p>
      <w:pPr>
        <w:pStyle w:val="BodyText"/>
        <w:rPr>
          <w:b/>
          <w:sz w:val="26"/>
        </w:rPr>
      </w:pPr>
    </w:p>
    <w:p>
      <w:pPr>
        <w:pStyle w:val="BodyText"/>
        <w:spacing w:before="226"/>
        <w:ind w:left="1114"/>
      </w:pPr>
      <w:r>
        <w:rPr>
          <w:u w:val="single"/>
        </w:rPr>
        <w:t>Introduction:</w:t>
      </w:r>
    </w:p>
    <w:p>
      <w:pPr>
        <w:pStyle w:val="BodyText"/>
        <w:spacing w:before="2"/>
        <w:rPr>
          <w:sz w:val="16"/>
        </w:rPr>
      </w:pPr>
    </w:p>
    <w:p>
      <w:pPr>
        <w:pStyle w:val="BodyText"/>
        <w:spacing w:line="480" w:lineRule="auto" w:before="90"/>
        <w:ind w:left="1114" w:right="114"/>
        <w:jc w:val="both"/>
      </w:pPr>
      <w:r>
        <w:rPr/>
        <w:drawing>
          <wp:anchor distT="0" distB="0" distL="0" distR="0" allowOverlap="1" layoutInCell="1" locked="0" behindDoc="0" simplePos="0" relativeHeight="15730176">
            <wp:simplePos x="0" y="0"/>
            <wp:positionH relativeFrom="page">
              <wp:posOffset>12700</wp:posOffset>
            </wp:positionH>
            <wp:positionV relativeFrom="paragraph">
              <wp:posOffset>55284</wp:posOffset>
            </wp:positionV>
            <wp:extent cx="876172" cy="6234938"/>
            <wp:effectExtent l="0" t="0" r="0" b="0"/>
            <wp:wrapNone/>
            <wp:docPr id="5" name="image1.png"/>
            <wp:cNvGraphicFramePr>
              <a:graphicFrameLocks noChangeAspect="1"/>
            </wp:cNvGraphicFramePr>
            <a:graphic>
              <a:graphicData uri="http://schemas.openxmlformats.org/drawingml/2006/picture">
                <pic:pic>
                  <pic:nvPicPr>
                    <pic:cNvPr id="6" name="image1.png"/>
                    <pic:cNvPicPr/>
                  </pic:nvPicPr>
                  <pic:blipFill>
                    <a:blip r:embed="rId6" cstate="print"/>
                    <a:stretch>
                      <a:fillRect/>
                    </a:stretch>
                  </pic:blipFill>
                  <pic:spPr>
                    <a:xfrm>
                      <a:off x="0" y="0"/>
                      <a:ext cx="876172" cy="6234938"/>
                    </a:xfrm>
                    <a:prstGeom prst="rect">
                      <a:avLst/>
                    </a:prstGeom>
                  </pic:spPr>
                </pic:pic>
              </a:graphicData>
            </a:graphic>
          </wp:anchor>
        </w:drawing>
      </w:r>
      <w:r>
        <w:rPr/>
        <w:t>Hydrogels based on hyaluronic acid are used to restore volume, hydration and skin tone, as well as to correct scars, asymmetries or defects of the soft tissue.</w:t>
      </w:r>
    </w:p>
    <w:p>
      <w:pPr>
        <w:pStyle w:val="BodyText"/>
        <w:spacing w:line="480" w:lineRule="auto"/>
        <w:ind w:left="1114" w:right="111"/>
        <w:jc w:val="both"/>
      </w:pPr>
      <w:r>
        <w:rPr/>
        <w:t>Hyaluronic</w:t>
      </w:r>
      <w:r>
        <w:rPr>
          <w:spacing w:val="-14"/>
        </w:rPr>
        <w:t> </w:t>
      </w:r>
      <w:r>
        <w:rPr/>
        <w:t>acid</w:t>
      </w:r>
      <w:r>
        <w:rPr>
          <w:spacing w:val="-12"/>
        </w:rPr>
        <w:t> </w:t>
      </w:r>
      <w:r>
        <w:rPr/>
        <w:t>is</w:t>
      </w:r>
      <w:r>
        <w:rPr>
          <w:spacing w:val="-12"/>
        </w:rPr>
        <w:t> </w:t>
      </w:r>
      <w:r>
        <w:rPr/>
        <w:t>often</w:t>
      </w:r>
      <w:r>
        <w:rPr>
          <w:spacing w:val="-13"/>
        </w:rPr>
        <w:t> </w:t>
      </w:r>
      <w:r>
        <w:rPr/>
        <w:t>chemically</w:t>
      </w:r>
      <w:r>
        <w:rPr>
          <w:spacing w:val="-12"/>
        </w:rPr>
        <w:t> </w:t>
      </w:r>
      <w:r>
        <w:rPr/>
        <w:t>crosslinked</w:t>
      </w:r>
      <w:r>
        <w:rPr>
          <w:spacing w:val="-13"/>
        </w:rPr>
        <w:t> </w:t>
      </w:r>
      <w:r>
        <w:rPr/>
        <w:t>with</w:t>
      </w:r>
      <w:r>
        <w:rPr>
          <w:spacing w:val="-12"/>
        </w:rPr>
        <w:t> </w:t>
      </w:r>
      <w:r>
        <w:rPr/>
        <w:t>different</w:t>
      </w:r>
      <w:r>
        <w:rPr>
          <w:spacing w:val="-13"/>
        </w:rPr>
        <w:t> </w:t>
      </w:r>
      <w:r>
        <w:rPr/>
        <w:t>crosslinking</w:t>
      </w:r>
      <w:r>
        <w:rPr>
          <w:spacing w:val="-13"/>
        </w:rPr>
        <w:t> </w:t>
      </w:r>
      <w:r>
        <w:rPr/>
        <w:t>agents</w:t>
      </w:r>
      <w:r>
        <w:rPr>
          <w:spacing w:val="-11"/>
        </w:rPr>
        <w:t> </w:t>
      </w:r>
      <w:r>
        <w:rPr/>
        <w:t>in</w:t>
      </w:r>
      <w:r>
        <w:rPr>
          <w:spacing w:val="-13"/>
        </w:rPr>
        <w:t> </w:t>
      </w:r>
      <w:r>
        <w:rPr/>
        <w:t>order</w:t>
      </w:r>
      <w:r>
        <w:rPr>
          <w:spacing w:val="-12"/>
        </w:rPr>
        <w:t> </w:t>
      </w:r>
      <w:r>
        <w:rPr/>
        <w:t>to</w:t>
      </w:r>
      <w:r>
        <w:rPr>
          <w:spacing w:val="-12"/>
        </w:rPr>
        <w:t> </w:t>
      </w:r>
      <w:r>
        <w:rPr/>
        <w:t>improve its mechanical and biological</w:t>
      </w:r>
      <w:r>
        <w:rPr>
          <w:spacing w:val="-1"/>
        </w:rPr>
        <w:t> </w:t>
      </w:r>
      <w:r>
        <w:rPr/>
        <w:t>properties.</w:t>
      </w:r>
    </w:p>
    <w:p>
      <w:pPr>
        <w:pStyle w:val="BodyText"/>
        <w:spacing w:line="480" w:lineRule="auto"/>
        <w:ind w:left="1114" w:right="112"/>
        <w:jc w:val="both"/>
      </w:pPr>
      <w:r>
        <w:rPr/>
        <w:t>Here we focused on defining the chemical and mechanical characterization of a new hydrogel with specific characteristics: hyaluronic acid polyethylene glycol (PEG)-crosslinked with a high concentration of hyaluronic acid (28 mg / ml), manufactured by MatexLab Spa, via Carlo Urbani 2, ang Via Enrico Fermi, Brindisi, Italy.</w:t>
      </w:r>
    </w:p>
    <w:p>
      <w:pPr>
        <w:pStyle w:val="BodyText"/>
        <w:spacing w:line="275" w:lineRule="exact"/>
        <w:ind w:left="1114"/>
      </w:pPr>
      <w:r>
        <w:rPr>
          <w:u w:val="single"/>
        </w:rPr>
        <w:t>Methods:</w:t>
      </w:r>
    </w:p>
    <w:p>
      <w:pPr>
        <w:pStyle w:val="BodyText"/>
        <w:spacing w:before="2"/>
        <w:rPr>
          <w:sz w:val="16"/>
        </w:rPr>
      </w:pPr>
    </w:p>
    <w:p>
      <w:pPr>
        <w:pStyle w:val="BodyText"/>
        <w:spacing w:line="480" w:lineRule="auto" w:before="90"/>
        <w:ind w:left="1114" w:right="111"/>
        <w:jc w:val="both"/>
      </w:pPr>
      <w:r>
        <w:rPr/>
        <w:t>We</w:t>
      </w:r>
      <w:r>
        <w:rPr>
          <w:spacing w:val="-5"/>
        </w:rPr>
        <w:t> </w:t>
      </w:r>
      <w:r>
        <w:rPr/>
        <w:t>made</w:t>
      </w:r>
      <w:r>
        <w:rPr>
          <w:spacing w:val="-5"/>
        </w:rPr>
        <w:t> </w:t>
      </w:r>
      <w:r>
        <w:rPr/>
        <w:t>a</w:t>
      </w:r>
      <w:r>
        <w:rPr>
          <w:spacing w:val="-5"/>
        </w:rPr>
        <w:t> </w:t>
      </w:r>
      <w:r>
        <w:rPr/>
        <w:t>quantitative</w:t>
      </w:r>
      <w:r>
        <w:rPr>
          <w:spacing w:val="-6"/>
        </w:rPr>
        <w:t> </w:t>
      </w:r>
      <w:r>
        <w:rPr/>
        <w:t>and</w:t>
      </w:r>
      <w:r>
        <w:rPr>
          <w:spacing w:val="-6"/>
        </w:rPr>
        <w:t> </w:t>
      </w:r>
      <w:r>
        <w:rPr/>
        <w:t>qualitative</w:t>
      </w:r>
      <w:r>
        <w:rPr>
          <w:spacing w:val="-5"/>
        </w:rPr>
        <w:t> </w:t>
      </w:r>
      <w:r>
        <w:rPr/>
        <w:t>analysis</w:t>
      </w:r>
      <w:r>
        <w:rPr>
          <w:spacing w:val="-6"/>
        </w:rPr>
        <w:t> </w:t>
      </w:r>
      <w:r>
        <w:rPr/>
        <w:t>of</w:t>
      </w:r>
      <w:r>
        <w:rPr>
          <w:spacing w:val="-6"/>
        </w:rPr>
        <w:t> </w:t>
      </w:r>
      <w:r>
        <w:rPr/>
        <w:t>the</w:t>
      </w:r>
      <w:r>
        <w:rPr>
          <w:spacing w:val="-6"/>
        </w:rPr>
        <w:t> </w:t>
      </w:r>
      <w:r>
        <w:rPr/>
        <w:t>content</w:t>
      </w:r>
      <w:r>
        <w:rPr>
          <w:spacing w:val="-5"/>
        </w:rPr>
        <w:t> </w:t>
      </w:r>
      <w:r>
        <w:rPr/>
        <w:t>of</w:t>
      </w:r>
      <w:r>
        <w:rPr>
          <w:spacing w:val="-6"/>
        </w:rPr>
        <w:t> </w:t>
      </w:r>
      <w:r>
        <w:rPr/>
        <w:t>sodium</w:t>
      </w:r>
      <w:r>
        <w:rPr>
          <w:spacing w:val="-6"/>
        </w:rPr>
        <w:t> </w:t>
      </w:r>
      <w:r>
        <w:rPr/>
        <w:t>hyaluronate</w:t>
      </w:r>
      <w:r>
        <w:rPr>
          <w:spacing w:val="-6"/>
        </w:rPr>
        <w:t> </w:t>
      </w:r>
      <w:r>
        <w:rPr/>
        <w:t>in</w:t>
      </w:r>
      <w:r>
        <w:rPr>
          <w:spacing w:val="-6"/>
        </w:rPr>
        <w:t> </w:t>
      </w:r>
      <w:r>
        <w:rPr/>
        <w:t>the</w:t>
      </w:r>
      <w:r>
        <w:rPr>
          <w:spacing w:val="-5"/>
        </w:rPr>
        <w:t> </w:t>
      </w:r>
      <w:r>
        <w:rPr/>
        <w:t>hydrogel after polymerization and sterilization processes and also evaluated histologically the bio integration of these hydrogels in the cutaneous soft</w:t>
      </w:r>
      <w:r>
        <w:rPr>
          <w:spacing w:val="-4"/>
        </w:rPr>
        <w:t> </w:t>
      </w:r>
      <w:r>
        <w:rPr/>
        <w:t>tissues.</w:t>
      </w:r>
    </w:p>
    <w:p>
      <w:pPr>
        <w:pStyle w:val="BodyText"/>
        <w:spacing w:before="1"/>
        <w:ind w:left="1114"/>
      </w:pPr>
      <w:r>
        <w:rPr>
          <w:u w:val="single"/>
        </w:rPr>
        <w:t>Results:</w:t>
      </w:r>
    </w:p>
    <w:p>
      <w:pPr>
        <w:pStyle w:val="BodyText"/>
        <w:spacing w:before="2"/>
        <w:rPr>
          <w:sz w:val="16"/>
        </w:rPr>
      </w:pPr>
    </w:p>
    <w:p>
      <w:pPr>
        <w:pStyle w:val="BodyText"/>
        <w:spacing w:line="480" w:lineRule="auto" w:before="90"/>
        <w:ind w:left="1113" w:right="111"/>
        <w:jc w:val="both"/>
      </w:pPr>
      <w:r>
        <w:rPr/>
        <w:t>The results suggest that hyaluronic acid hydrogel PEG-crosslinked have great bio integration, great chemical and mechanical properties, compared with other products available on the market, that are cross-linked with different cross-linking agents.</w:t>
      </w:r>
    </w:p>
    <w:p>
      <w:pPr>
        <w:pStyle w:val="BodyText"/>
        <w:ind w:left="1114"/>
      </w:pPr>
      <w:r>
        <w:rPr>
          <w:u w:val="single"/>
        </w:rPr>
        <w:t>Conclusion:</w:t>
      </w:r>
    </w:p>
    <w:p>
      <w:pPr>
        <w:spacing w:after="0"/>
        <w:sectPr>
          <w:pgSz w:w="11910" w:h="16840"/>
          <w:pgMar w:header="0" w:footer="367" w:top="1580" w:bottom="560" w:left="20" w:right="1020"/>
        </w:sectPr>
      </w:pPr>
    </w:p>
    <w:p>
      <w:pPr>
        <w:pStyle w:val="BodyText"/>
        <w:spacing w:line="480" w:lineRule="auto" w:before="75"/>
        <w:ind w:left="1113" w:right="112"/>
        <w:jc w:val="both"/>
      </w:pPr>
      <w:r>
        <w:rPr/>
        <w:drawing>
          <wp:anchor distT="0" distB="0" distL="0" distR="0" allowOverlap="1" layoutInCell="1" locked="0" behindDoc="0" simplePos="0" relativeHeight="15730688">
            <wp:simplePos x="0" y="0"/>
            <wp:positionH relativeFrom="page">
              <wp:posOffset>12700</wp:posOffset>
            </wp:positionH>
            <wp:positionV relativeFrom="paragraph">
              <wp:posOffset>1378497</wp:posOffset>
            </wp:positionV>
            <wp:extent cx="876172" cy="6234938"/>
            <wp:effectExtent l="0" t="0" r="0" b="0"/>
            <wp:wrapNone/>
            <wp:docPr id="7" name="image1.png"/>
            <wp:cNvGraphicFramePr>
              <a:graphicFrameLocks noChangeAspect="1"/>
            </wp:cNvGraphicFramePr>
            <a:graphic>
              <a:graphicData uri="http://schemas.openxmlformats.org/drawingml/2006/picture">
                <pic:pic>
                  <pic:nvPicPr>
                    <pic:cNvPr id="8" name="image1.png"/>
                    <pic:cNvPicPr/>
                  </pic:nvPicPr>
                  <pic:blipFill>
                    <a:blip r:embed="rId6" cstate="print"/>
                    <a:stretch>
                      <a:fillRect/>
                    </a:stretch>
                  </pic:blipFill>
                  <pic:spPr>
                    <a:xfrm>
                      <a:off x="0" y="0"/>
                      <a:ext cx="876172" cy="6234938"/>
                    </a:xfrm>
                    <a:prstGeom prst="rect">
                      <a:avLst/>
                    </a:prstGeom>
                  </pic:spPr>
                </pic:pic>
              </a:graphicData>
            </a:graphic>
          </wp:anchor>
        </w:drawing>
      </w:r>
      <w:r>
        <w:rPr/>
        <w:t>The non-toxicity and non-immunogenicity of PEG guarantee the lack of allergic and immunological reactions. The PEG-crosslinking technology guarantees a high duration time of the implanted hydrogel because of more resistant physiological degradation.</w:t>
      </w:r>
    </w:p>
    <w:p>
      <w:pPr>
        <w:pStyle w:val="BodyText"/>
        <w:rPr>
          <w:sz w:val="26"/>
        </w:rPr>
      </w:pPr>
    </w:p>
    <w:p>
      <w:pPr>
        <w:pStyle w:val="BodyText"/>
        <w:rPr>
          <w:sz w:val="26"/>
        </w:rPr>
      </w:pPr>
    </w:p>
    <w:p>
      <w:pPr>
        <w:pStyle w:val="BodyText"/>
        <w:rPr>
          <w:sz w:val="26"/>
        </w:rPr>
      </w:pPr>
    </w:p>
    <w:p>
      <w:pPr>
        <w:pStyle w:val="BodyText"/>
        <w:spacing w:before="9"/>
        <w:rPr>
          <w:sz w:val="21"/>
        </w:rPr>
      </w:pPr>
    </w:p>
    <w:p>
      <w:pPr>
        <w:pStyle w:val="Heading1"/>
      </w:pPr>
      <w:bookmarkStart w:name="KEYWORDS:" w:id="3"/>
      <w:bookmarkEnd w:id="3"/>
      <w:r>
        <w:rPr>
          <w:b w:val="0"/>
        </w:rPr>
      </w:r>
      <w:r>
        <w:rPr/>
        <w:t>KEYWORDS:</w:t>
      </w:r>
    </w:p>
    <w:p>
      <w:pPr>
        <w:pStyle w:val="BodyText"/>
        <w:spacing w:before="8"/>
        <w:rPr>
          <w:b/>
          <w:sz w:val="23"/>
        </w:rPr>
      </w:pPr>
    </w:p>
    <w:p>
      <w:pPr>
        <w:pStyle w:val="BodyText"/>
        <w:spacing w:line="480" w:lineRule="auto"/>
        <w:ind w:left="1113" w:right="1613"/>
      </w:pPr>
      <w:r>
        <w:rPr/>
        <w:t>Chemical characterization, Cross-linked, Dermal filler, Hyaluronic acid, Mechanical characterization, Polyethylene glycol</w:t>
      </w:r>
    </w:p>
    <w:p>
      <w:pPr>
        <w:spacing w:after="0" w:line="480" w:lineRule="auto"/>
        <w:sectPr>
          <w:pgSz w:w="11910" w:h="16840"/>
          <w:pgMar w:header="0" w:footer="367" w:top="1320" w:bottom="560" w:left="20" w:right="1020"/>
        </w:sectPr>
      </w:pPr>
    </w:p>
    <w:p>
      <w:pPr>
        <w:pStyle w:val="Heading1"/>
        <w:spacing w:before="78"/>
      </w:pPr>
      <w:bookmarkStart w:name="INTRODUCTION" w:id="4"/>
      <w:bookmarkEnd w:id="4"/>
      <w:r>
        <w:rPr>
          <w:b w:val="0"/>
        </w:rPr>
      </w:r>
      <w:r>
        <w:rPr/>
        <w:t>INTRODUCTION</w:t>
      </w:r>
    </w:p>
    <w:p>
      <w:pPr>
        <w:pStyle w:val="BodyText"/>
        <w:spacing w:before="9"/>
        <w:rPr>
          <w:b/>
          <w:sz w:val="23"/>
        </w:rPr>
      </w:pPr>
    </w:p>
    <w:p>
      <w:pPr>
        <w:pStyle w:val="BodyText"/>
        <w:spacing w:line="480" w:lineRule="auto"/>
        <w:ind w:left="1113" w:right="112"/>
        <w:jc w:val="both"/>
      </w:pPr>
      <w:r>
        <w:rPr/>
        <w:drawing>
          <wp:anchor distT="0" distB="0" distL="0" distR="0" allowOverlap="1" layoutInCell="1" locked="0" behindDoc="0" simplePos="0" relativeHeight="15731200">
            <wp:simplePos x="0" y="0"/>
            <wp:positionH relativeFrom="page">
              <wp:posOffset>12700</wp:posOffset>
            </wp:positionH>
            <wp:positionV relativeFrom="paragraph">
              <wp:posOffset>980352</wp:posOffset>
            </wp:positionV>
            <wp:extent cx="876172" cy="6234938"/>
            <wp:effectExtent l="0" t="0" r="0" b="0"/>
            <wp:wrapNone/>
            <wp:docPr id="9" name="image1.png"/>
            <wp:cNvGraphicFramePr>
              <a:graphicFrameLocks noChangeAspect="1"/>
            </wp:cNvGraphicFramePr>
            <a:graphic>
              <a:graphicData uri="http://schemas.openxmlformats.org/drawingml/2006/picture">
                <pic:pic>
                  <pic:nvPicPr>
                    <pic:cNvPr id="10" name="image1.png"/>
                    <pic:cNvPicPr/>
                  </pic:nvPicPr>
                  <pic:blipFill>
                    <a:blip r:embed="rId6" cstate="print"/>
                    <a:stretch>
                      <a:fillRect/>
                    </a:stretch>
                  </pic:blipFill>
                  <pic:spPr>
                    <a:xfrm>
                      <a:off x="0" y="0"/>
                      <a:ext cx="876172" cy="6234938"/>
                    </a:xfrm>
                    <a:prstGeom prst="rect">
                      <a:avLst/>
                    </a:prstGeom>
                  </pic:spPr>
                </pic:pic>
              </a:graphicData>
            </a:graphic>
          </wp:anchor>
        </w:drawing>
      </w:r>
      <w:r>
        <w:rPr/>
        <w:t>Hyaluronic acid is an heteropolymer characterized by sequences of glucuronic acid and n- acetylglucosamine</w:t>
      </w:r>
      <w:r>
        <w:rPr>
          <w:spacing w:val="-11"/>
        </w:rPr>
        <w:t> </w:t>
      </w:r>
      <w:r>
        <w:rPr/>
        <w:t>bonded</w:t>
      </w:r>
      <w:r>
        <w:rPr>
          <w:spacing w:val="-11"/>
        </w:rPr>
        <w:t> </w:t>
      </w:r>
      <w:r>
        <w:rPr/>
        <w:t>by</w:t>
      </w:r>
      <w:r>
        <w:rPr>
          <w:spacing w:val="-11"/>
        </w:rPr>
        <w:t> </w:t>
      </w:r>
      <w:r>
        <w:rPr/>
        <w:t>a</w:t>
      </w:r>
      <w:r>
        <w:rPr>
          <w:spacing w:val="-11"/>
        </w:rPr>
        <w:t> </w:t>
      </w:r>
      <w:r>
        <w:rPr/>
        <w:t>β-1-3</w:t>
      </w:r>
      <w:r>
        <w:rPr>
          <w:spacing w:val="-11"/>
        </w:rPr>
        <w:t> </w:t>
      </w:r>
      <w:r>
        <w:rPr/>
        <w:t>glycosidic</w:t>
      </w:r>
      <w:r>
        <w:rPr>
          <w:spacing w:val="-10"/>
        </w:rPr>
        <w:t> </w:t>
      </w:r>
      <w:r>
        <w:rPr/>
        <w:t>bond.</w:t>
      </w:r>
      <w:r>
        <w:rPr>
          <w:spacing w:val="-11"/>
        </w:rPr>
        <w:t> </w:t>
      </w:r>
      <w:r>
        <w:rPr/>
        <w:t>Each</w:t>
      </w:r>
      <w:r>
        <w:rPr>
          <w:spacing w:val="-11"/>
        </w:rPr>
        <w:t> </w:t>
      </w:r>
      <w:r>
        <w:rPr/>
        <w:t>unit</w:t>
      </w:r>
      <w:r>
        <w:rPr>
          <w:spacing w:val="-11"/>
        </w:rPr>
        <w:t> </w:t>
      </w:r>
      <w:r>
        <w:rPr/>
        <w:t>is</w:t>
      </w:r>
      <w:r>
        <w:rPr>
          <w:spacing w:val="-11"/>
        </w:rPr>
        <w:t> </w:t>
      </w:r>
      <w:r>
        <w:rPr/>
        <w:t>bound</w:t>
      </w:r>
      <w:r>
        <w:rPr>
          <w:spacing w:val="-11"/>
        </w:rPr>
        <w:t> </w:t>
      </w:r>
      <w:r>
        <w:rPr/>
        <w:t>thanks</w:t>
      </w:r>
      <w:r>
        <w:rPr>
          <w:spacing w:val="-10"/>
        </w:rPr>
        <w:t> </w:t>
      </w:r>
      <w:r>
        <w:rPr/>
        <w:t>to</w:t>
      </w:r>
      <w:r>
        <w:rPr>
          <w:spacing w:val="-11"/>
        </w:rPr>
        <w:t> </w:t>
      </w:r>
      <w:r>
        <w:rPr/>
        <w:t>a</w:t>
      </w:r>
      <w:r>
        <w:rPr>
          <w:spacing w:val="-11"/>
        </w:rPr>
        <w:t> </w:t>
      </w:r>
      <w:r>
        <w:rPr/>
        <w:t>β-1-4</w:t>
      </w:r>
      <w:r>
        <w:rPr>
          <w:spacing w:val="-11"/>
        </w:rPr>
        <w:t> </w:t>
      </w:r>
      <w:r>
        <w:rPr/>
        <w:t>glicosidic bond (1).</w:t>
      </w:r>
    </w:p>
    <w:p>
      <w:pPr>
        <w:pStyle w:val="BodyText"/>
        <w:spacing w:line="480" w:lineRule="auto"/>
        <w:ind w:left="1113" w:right="113"/>
        <w:jc w:val="both"/>
      </w:pPr>
      <w:r>
        <w:rPr/>
        <w:t>Up to 25,000 bound disaccharides units may be found in mammal tissues, reaching a molecular weight of 5x10 </w:t>
      </w:r>
      <w:r>
        <w:rPr>
          <w:vertAlign w:val="superscript"/>
        </w:rPr>
        <w:t>5</w:t>
      </w:r>
      <w:r>
        <w:rPr>
          <w:vertAlign w:val="baseline"/>
        </w:rPr>
        <w:t> – 5x10 </w:t>
      </w:r>
      <w:r>
        <w:rPr>
          <w:vertAlign w:val="superscript"/>
        </w:rPr>
        <w:t>6</w:t>
      </w:r>
      <w:r>
        <w:rPr>
          <w:vertAlign w:val="baseline"/>
        </w:rPr>
        <w:t> Da (2).</w:t>
      </w:r>
    </w:p>
    <w:p>
      <w:pPr>
        <w:pStyle w:val="BodyText"/>
        <w:spacing w:line="480" w:lineRule="auto"/>
        <w:ind w:left="1113" w:right="113"/>
        <w:jc w:val="both"/>
      </w:pPr>
      <w:r>
        <w:rPr/>
        <w:t>Hyaluronic acid (HA) is a glycosaminoglycan with important biological functions thanks to its peculiar</w:t>
      </w:r>
      <w:r>
        <w:rPr>
          <w:spacing w:val="-10"/>
        </w:rPr>
        <w:t> </w:t>
      </w:r>
      <w:r>
        <w:rPr/>
        <w:t>structure</w:t>
      </w:r>
      <w:r>
        <w:rPr>
          <w:spacing w:val="-11"/>
        </w:rPr>
        <w:t> </w:t>
      </w:r>
      <w:r>
        <w:rPr/>
        <w:t>and</w:t>
      </w:r>
      <w:r>
        <w:rPr>
          <w:spacing w:val="-10"/>
        </w:rPr>
        <w:t> </w:t>
      </w:r>
      <w:r>
        <w:rPr/>
        <w:t>its</w:t>
      </w:r>
      <w:r>
        <w:rPr>
          <w:spacing w:val="-11"/>
        </w:rPr>
        <w:t> </w:t>
      </w:r>
      <w:r>
        <w:rPr/>
        <w:t>ability</w:t>
      </w:r>
      <w:r>
        <w:rPr>
          <w:spacing w:val="-11"/>
        </w:rPr>
        <w:t> </w:t>
      </w:r>
      <w:r>
        <w:rPr/>
        <w:t>to</w:t>
      </w:r>
      <w:r>
        <w:rPr>
          <w:spacing w:val="-10"/>
        </w:rPr>
        <w:t> </w:t>
      </w:r>
      <w:r>
        <w:rPr/>
        <w:t>attract</w:t>
      </w:r>
      <w:r>
        <w:rPr>
          <w:spacing w:val="-9"/>
        </w:rPr>
        <w:t> </w:t>
      </w:r>
      <w:r>
        <w:rPr/>
        <w:t>a</w:t>
      </w:r>
      <w:r>
        <w:rPr>
          <w:spacing w:val="-11"/>
        </w:rPr>
        <w:t> </w:t>
      </w:r>
      <w:r>
        <w:rPr/>
        <w:t>great</w:t>
      </w:r>
      <w:r>
        <w:rPr>
          <w:spacing w:val="-9"/>
        </w:rPr>
        <w:t> </w:t>
      </w:r>
      <w:r>
        <w:rPr/>
        <w:t>amount</w:t>
      </w:r>
      <w:r>
        <w:rPr>
          <w:spacing w:val="-9"/>
        </w:rPr>
        <w:t> </w:t>
      </w:r>
      <w:r>
        <w:rPr/>
        <w:t>of</w:t>
      </w:r>
      <w:r>
        <w:rPr>
          <w:spacing w:val="-11"/>
        </w:rPr>
        <w:t> </w:t>
      </w:r>
      <w:r>
        <w:rPr/>
        <w:t>water.</w:t>
      </w:r>
      <w:r>
        <w:rPr>
          <w:spacing w:val="-10"/>
        </w:rPr>
        <w:t> </w:t>
      </w:r>
      <w:r>
        <w:rPr/>
        <w:t>HA</w:t>
      </w:r>
      <w:r>
        <w:rPr>
          <w:spacing w:val="-10"/>
        </w:rPr>
        <w:t> </w:t>
      </w:r>
      <w:r>
        <w:rPr/>
        <w:t>makes</w:t>
      </w:r>
      <w:r>
        <w:rPr>
          <w:spacing w:val="-11"/>
        </w:rPr>
        <w:t> </w:t>
      </w:r>
      <w:r>
        <w:rPr/>
        <w:t>the</w:t>
      </w:r>
      <w:r>
        <w:rPr>
          <w:spacing w:val="-11"/>
        </w:rPr>
        <w:t> </w:t>
      </w:r>
      <w:r>
        <w:rPr/>
        <w:t>extra</w:t>
      </w:r>
      <w:r>
        <w:rPr>
          <w:spacing w:val="-11"/>
        </w:rPr>
        <w:t> </w:t>
      </w:r>
      <w:r>
        <w:rPr/>
        <w:t>cellular</w:t>
      </w:r>
      <w:r>
        <w:rPr>
          <w:spacing w:val="-11"/>
        </w:rPr>
        <w:t> </w:t>
      </w:r>
      <w:r>
        <w:rPr/>
        <w:t>matrix hydrated, stable and open so that molecules like other glycosaminoglycans (GAGs), collagen and elastin can build a kind of network called “scaffold”</w:t>
      </w:r>
      <w:r>
        <w:rPr>
          <w:spacing w:val="-3"/>
        </w:rPr>
        <w:t> </w:t>
      </w:r>
      <w:r>
        <w:rPr/>
        <w:t>(3).</w:t>
      </w:r>
    </w:p>
    <w:p>
      <w:pPr>
        <w:pStyle w:val="BodyText"/>
        <w:spacing w:line="480" w:lineRule="auto"/>
        <w:ind w:left="1113" w:right="112"/>
        <w:jc w:val="both"/>
      </w:pPr>
      <w:r>
        <w:rPr/>
        <w:t>HA is synthetized by three hyaluronic acid synthases (HAS 1,2,3) [11; 12; 13] on the cellular membrane</w:t>
      </w:r>
      <w:r>
        <w:rPr>
          <w:spacing w:val="-7"/>
        </w:rPr>
        <w:t> </w:t>
      </w:r>
      <w:r>
        <w:rPr/>
        <w:t>and</w:t>
      </w:r>
      <w:r>
        <w:rPr>
          <w:spacing w:val="-6"/>
        </w:rPr>
        <w:t> </w:t>
      </w:r>
      <w:r>
        <w:rPr/>
        <w:t>it</w:t>
      </w:r>
      <w:r>
        <w:rPr>
          <w:spacing w:val="-7"/>
        </w:rPr>
        <w:t> </w:t>
      </w:r>
      <w:r>
        <w:rPr/>
        <w:t>is</w:t>
      </w:r>
      <w:r>
        <w:rPr>
          <w:spacing w:val="-6"/>
        </w:rPr>
        <w:t> </w:t>
      </w:r>
      <w:r>
        <w:rPr/>
        <w:t>extruded</w:t>
      </w:r>
      <w:r>
        <w:rPr>
          <w:spacing w:val="-7"/>
        </w:rPr>
        <w:t> </w:t>
      </w:r>
      <w:r>
        <w:rPr/>
        <w:t>from</w:t>
      </w:r>
      <w:r>
        <w:rPr>
          <w:spacing w:val="-8"/>
        </w:rPr>
        <w:t> </w:t>
      </w:r>
      <w:r>
        <w:rPr/>
        <w:t>the</w:t>
      </w:r>
      <w:r>
        <w:rPr>
          <w:spacing w:val="-6"/>
        </w:rPr>
        <w:t> </w:t>
      </w:r>
      <w:r>
        <w:rPr/>
        <w:t>cell</w:t>
      </w:r>
      <w:r>
        <w:rPr>
          <w:spacing w:val="-6"/>
        </w:rPr>
        <w:t> </w:t>
      </w:r>
      <w:r>
        <w:rPr/>
        <w:t>when</w:t>
      </w:r>
      <w:r>
        <w:rPr>
          <w:spacing w:val="-7"/>
        </w:rPr>
        <w:t> </w:t>
      </w:r>
      <w:r>
        <w:rPr/>
        <w:t>assembled.</w:t>
      </w:r>
      <w:r>
        <w:rPr>
          <w:spacing w:val="-6"/>
        </w:rPr>
        <w:t> </w:t>
      </w:r>
      <w:r>
        <w:rPr/>
        <w:t>15</w:t>
      </w:r>
      <w:r>
        <w:rPr>
          <w:spacing w:val="-7"/>
        </w:rPr>
        <w:t> </w:t>
      </w:r>
      <w:r>
        <w:rPr/>
        <w:t>g</w:t>
      </w:r>
      <w:r>
        <w:rPr>
          <w:spacing w:val="-6"/>
        </w:rPr>
        <w:t> </w:t>
      </w:r>
      <w:r>
        <w:rPr/>
        <w:t>of</w:t>
      </w:r>
      <w:r>
        <w:rPr>
          <w:spacing w:val="-7"/>
        </w:rPr>
        <w:t> </w:t>
      </w:r>
      <w:r>
        <w:rPr/>
        <w:t>Ha</w:t>
      </w:r>
      <w:r>
        <w:rPr>
          <w:spacing w:val="-6"/>
        </w:rPr>
        <w:t> </w:t>
      </w:r>
      <w:r>
        <w:rPr/>
        <w:t>are</w:t>
      </w:r>
      <w:r>
        <w:rPr>
          <w:spacing w:val="-7"/>
        </w:rPr>
        <w:t> </w:t>
      </w:r>
      <w:r>
        <w:rPr/>
        <w:t>typically</w:t>
      </w:r>
      <w:r>
        <w:rPr>
          <w:spacing w:val="-6"/>
        </w:rPr>
        <w:t> </w:t>
      </w:r>
      <w:r>
        <w:rPr/>
        <w:t>found</w:t>
      </w:r>
      <w:r>
        <w:rPr>
          <w:spacing w:val="-7"/>
        </w:rPr>
        <w:t> </w:t>
      </w:r>
      <w:r>
        <w:rPr/>
        <w:t>in</w:t>
      </w:r>
      <w:r>
        <w:rPr>
          <w:spacing w:val="-6"/>
        </w:rPr>
        <w:t> </w:t>
      </w:r>
      <w:r>
        <w:rPr/>
        <w:t>an</w:t>
      </w:r>
      <w:r>
        <w:rPr>
          <w:spacing w:val="-6"/>
        </w:rPr>
        <w:t> </w:t>
      </w:r>
      <w:r>
        <w:rPr/>
        <w:t>adult human body, 7 g of which can be found in the dermis (1,</w:t>
      </w:r>
      <w:r>
        <w:rPr>
          <w:spacing w:val="-3"/>
        </w:rPr>
        <w:t> </w:t>
      </w:r>
      <w:r>
        <w:rPr/>
        <w:t>4-9).</w:t>
      </w:r>
    </w:p>
    <w:p>
      <w:pPr>
        <w:pStyle w:val="BodyText"/>
        <w:spacing w:line="480" w:lineRule="auto"/>
        <w:ind w:left="1113" w:right="113"/>
        <w:jc w:val="both"/>
      </w:pPr>
      <w:r>
        <w:rPr/>
        <w:t>HA</w:t>
      </w:r>
      <w:r>
        <w:rPr>
          <w:spacing w:val="-12"/>
        </w:rPr>
        <w:t> </w:t>
      </w:r>
      <w:r>
        <w:rPr/>
        <w:t>is</w:t>
      </w:r>
      <w:r>
        <w:rPr>
          <w:spacing w:val="-11"/>
        </w:rPr>
        <w:t> </w:t>
      </w:r>
      <w:r>
        <w:rPr/>
        <w:t>degraded</w:t>
      </w:r>
      <w:r>
        <w:rPr>
          <w:spacing w:val="-11"/>
        </w:rPr>
        <w:t> </w:t>
      </w:r>
      <w:r>
        <w:rPr/>
        <w:t>(approximately</w:t>
      </w:r>
      <w:r>
        <w:rPr>
          <w:spacing w:val="-11"/>
        </w:rPr>
        <w:t> </w:t>
      </w:r>
      <w:r>
        <w:rPr/>
        <w:t>30%</w:t>
      </w:r>
      <w:r>
        <w:rPr>
          <w:spacing w:val="-10"/>
        </w:rPr>
        <w:t> </w:t>
      </w:r>
      <w:r>
        <w:rPr/>
        <w:t>of</w:t>
      </w:r>
      <w:r>
        <w:rPr>
          <w:spacing w:val="-12"/>
        </w:rPr>
        <w:t> </w:t>
      </w:r>
      <w:r>
        <w:rPr/>
        <w:t>the</w:t>
      </w:r>
      <w:r>
        <w:rPr>
          <w:spacing w:val="-11"/>
        </w:rPr>
        <w:t> </w:t>
      </w:r>
      <w:r>
        <w:rPr/>
        <w:t>total</w:t>
      </w:r>
      <w:r>
        <w:rPr>
          <w:spacing w:val="-11"/>
        </w:rPr>
        <w:t> </w:t>
      </w:r>
      <w:r>
        <w:rPr/>
        <w:t>amount</w:t>
      </w:r>
      <w:r>
        <w:rPr>
          <w:spacing w:val="-11"/>
        </w:rPr>
        <w:t> </w:t>
      </w:r>
      <w:r>
        <w:rPr/>
        <w:t>per</w:t>
      </w:r>
      <w:r>
        <w:rPr>
          <w:spacing w:val="-10"/>
        </w:rPr>
        <w:t> </w:t>
      </w:r>
      <w:r>
        <w:rPr/>
        <w:t>day),</w:t>
      </w:r>
      <w:r>
        <w:rPr>
          <w:spacing w:val="-11"/>
        </w:rPr>
        <w:t> </w:t>
      </w:r>
      <w:r>
        <w:rPr/>
        <w:t>by</w:t>
      </w:r>
      <w:r>
        <w:rPr>
          <w:spacing w:val="-11"/>
        </w:rPr>
        <w:t> </w:t>
      </w:r>
      <w:r>
        <w:rPr/>
        <w:t>different</w:t>
      </w:r>
      <w:r>
        <w:rPr>
          <w:spacing w:val="-11"/>
        </w:rPr>
        <w:t> </w:t>
      </w:r>
      <w:r>
        <w:rPr/>
        <w:t>hyaluronidases,</w:t>
      </w:r>
      <w:r>
        <w:rPr>
          <w:spacing w:val="-10"/>
        </w:rPr>
        <w:t> </w:t>
      </w:r>
      <w:r>
        <w:rPr/>
        <w:t>by</w:t>
      </w:r>
      <w:r>
        <w:rPr>
          <w:spacing w:val="-12"/>
        </w:rPr>
        <w:t> </w:t>
      </w:r>
      <w:r>
        <w:rPr/>
        <w:t>UV radiation and by free radicals produced during inflammatory processes</w:t>
      </w:r>
      <w:r>
        <w:rPr>
          <w:spacing w:val="-6"/>
        </w:rPr>
        <w:t> </w:t>
      </w:r>
      <w:r>
        <w:rPr/>
        <w:t>(10).</w:t>
      </w:r>
    </w:p>
    <w:p>
      <w:pPr>
        <w:pStyle w:val="BodyText"/>
        <w:spacing w:line="480" w:lineRule="auto"/>
        <w:ind w:left="1113" w:right="112"/>
        <w:jc w:val="both"/>
      </w:pPr>
      <w:r>
        <w:rPr/>
        <w:t>Formulations based on hyaluronic acid are nowadays used in aesthetic medicine, plastic surgery and dermatology as a filler to correct soft tissue deficits or in the scar management (11, 35, 36).</w:t>
      </w:r>
    </w:p>
    <w:p>
      <w:pPr>
        <w:pStyle w:val="BodyText"/>
        <w:spacing w:line="480" w:lineRule="auto"/>
        <w:ind w:left="1113" w:right="111"/>
        <w:jc w:val="both"/>
      </w:pPr>
      <w:r>
        <w:rPr/>
        <w:t>Although hyaluronic acid without any further modification is sometimes used, hydrogels including crosslinked HA found by far more widespread application in these fields. A crosslinked hydrogel is a formulation in which HA chains have been bound (crosslinked) by means of a different molecule called crosslinker (CL). The obtained structure features both covalent bonds (which are formed by chemical reaction between HA and CL), and physical cross-links, intended as electrostatic</w:t>
      </w:r>
    </w:p>
    <w:p>
      <w:pPr>
        <w:spacing w:after="0" w:line="480" w:lineRule="auto"/>
        <w:jc w:val="both"/>
        <w:sectPr>
          <w:pgSz w:w="11910" w:h="16840"/>
          <w:pgMar w:header="0" w:footer="367" w:top="1320" w:bottom="560" w:left="20" w:right="1020"/>
        </w:sectPr>
      </w:pPr>
    </w:p>
    <w:p>
      <w:pPr>
        <w:pStyle w:val="BodyText"/>
        <w:spacing w:line="480" w:lineRule="auto" w:before="75"/>
        <w:ind w:left="1114" w:right="113"/>
        <w:jc w:val="both"/>
      </w:pPr>
      <w:r>
        <w:rPr/>
        <w:t>interactions, which are formed between the various entanglements of the chains, hydrogen bonds and/or van der Waals interactions.</w:t>
      </w:r>
    </w:p>
    <w:p>
      <w:pPr>
        <w:pStyle w:val="BodyText"/>
        <w:spacing w:line="480" w:lineRule="auto"/>
        <w:ind w:left="1113" w:right="112" w:firstLine="60"/>
        <w:jc w:val="both"/>
      </w:pPr>
      <w:r>
        <w:rPr/>
        <w:drawing>
          <wp:anchor distT="0" distB="0" distL="0" distR="0" allowOverlap="1" layoutInCell="1" locked="0" behindDoc="0" simplePos="0" relativeHeight="15731712">
            <wp:simplePos x="0" y="0"/>
            <wp:positionH relativeFrom="page">
              <wp:posOffset>12700</wp:posOffset>
            </wp:positionH>
            <wp:positionV relativeFrom="paragraph">
              <wp:posOffset>629832</wp:posOffset>
            </wp:positionV>
            <wp:extent cx="876172" cy="6234938"/>
            <wp:effectExtent l="0" t="0" r="0" b="0"/>
            <wp:wrapNone/>
            <wp:docPr id="11" name="image1.png"/>
            <wp:cNvGraphicFramePr>
              <a:graphicFrameLocks noChangeAspect="1"/>
            </wp:cNvGraphicFramePr>
            <a:graphic>
              <a:graphicData uri="http://schemas.openxmlformats.org/drawingml/2006/picture">
                <pic:pic>
                  <pic:nvPicPr>
                    <pic:cNvPr id="12" name="image1.png"/>
                    <pic:cNvPicPr/>
                  </pic:nvPicPr>
                  <pic:blipFill>
                    <a:blip r:embed="rId6" cstate="print"/>
                    <a:stretch>
                      <a:fillRect/>
                    </a:stretch>
                  </pic:blipFill>
                  <pic:spPr>
                    <a:xfrm>
                      <a:off x="0" y="0"/>
                      <a:ext cx="876172" cy="6234938"/>
                    </a:xfrm>
                    <a:prstGeom prst="rect">
                      <a:avLst/>
                    </a:prstGeom>
                  </pic:spPr>
                </pic:pic>
              </a:graphicData>
            </a:graphic>
          </wp:anchor>
        </w:drawing>
      </w:r>
      <w:r>
        <w:rPr/>
        <w:t>The</w:t>
      </w:r>
      <w:r>
        <w:rPr>
          <w:spacing w:val="-10"/>
        </w:rPr>
        <w:t> </w:t>
      </w:r>
      <w:r>
        <w:rPr/>
        <w:t>hydrogel</w:t>
      </w:r>
      <w:r>
        <w:rPr>
          <w:spacing w:val="-9"/>
        </w:rPr>
        <w:t> </w:t>
      </w:r>
      <w:r>
        <w:rPr/>
        <w:t>properties</w:t>
      </w:r>
      <w:r>
        <w:rPr>
          <w:spacing w:val="-10"/>
        </w:rPr>
        <w:t> </w:t>
      </w:r>
      <w:r>
        <w:rPr/>
        <w:t>are</w:t>
      </w:r>
      <w:r>
        <w:rPr>
          <w:spacing w:val="-10"/>
        </w:rPr>
        <w:t> </w:t>
      </w:r>
      <w:r>
        <w:rPr/>
        <w:t>dictated</w:t>
      </w:r>
      <w:r>
        <w:rPr>
          <w:spacing w:val="-11"/>
        </w:rPr>
        <w:t> </w:t>
      </w:r>
      <w:r>
        <w:rPr/>
        <w:t>by</w:t>
      </w:r>
      <w:r>
        <w:rPr>
          <w:spacing w:val="-9"/>
        </w:rPr>
        <w:t> </w:t>
      </w:r>
      <w:r>
        <w:rPr/>
        <w:t>the</w:t>
      </w:r>
      <w:r>
        <w:rPr>
          <w:spacing w:val="-10"/>
        </w:rPr>
        <w:t> </w:t>
      </w:r>
      <w:r>
        <w:rPr/>
        <w:t>number</w:t>
      </w:r>
      <w:r>
        <w:rPr>
          <w:spacing w:val="-8"/>
        </w:rPr>
        <w:t> </w:t>
      </w:r>
      <w:r>
        <w:rPr/>
        <w:t>of</w:t>
      </w:r>
      <w:r>
        <w:rPr>
          <w:spacing w:val="-11"/>
        </w:rPr>
        <w:t> </w:t>
      </w:r>
      <w:r>
        <w:rPr/>
        <w:t>crosslinks,</w:t>
      </w:r>
      <w:r>
        <w:rPr>
          <w:spacing w:val="-10"/>
        </w:rPr>
        <w:t> </w:t>
      </w:r>
      <w:r>
        <w:rPr/>
        <w:t>obtained</w:t>
      </w:r>
      <w:r>
        <w:rPr>
          <w:spacing w:val="-9"/>
        </w:rPr>
        <w:t> </w:t>
      </w:r>
      <w:r>
        <w:rPr/>
        <w:t>by</w:t>
      </w:r>
      <w:r>
        <w:rPr>
          <w:spacing w:val="-10"/>
        </w:rPr>
        <w:t> </w:t>
      </w:r>
      <w:r>
        <w:rPr/>
        <w:t>the</w:t>
      </w:r>
      <w:r>
        <w:rPr>
          <w:spacing w:val="-10"/>
        </w:rPr>
        <w:t> </w:t>
      </w:r>
      <w:r>
        <w:rPr/>
        <w:t>reaction</w:t>
      </w:r>
      <w:r>
        <w:rPr>
          <w:spacing w:val="-9"/>
        </w:rPr>
        <w:t> </w:t>
      </w:r>
      <w:r>
        <w:rPr/>
        <w:t>of</w:t>
      </w:r>
      <w:r>
        <w:rPr>
          <w:spacing w:val="-11"/>
        </w:rPr>
        <w:t> </w:t>
      </w:r>
      <w:r>
        <w:rPr/>
        <w:t>HA</w:t>
      </w:r>
      <w:r>
        <w:rPr>
          <w:spacing w:val="-9"/>
        </w:rPr>
        <w:t> </w:t>
      </w:r>
      <w:r>
        <w:rPr/>
        <w:t>and CL present. In the world of fillers, the preferred reaction between HA and CL leads to the formation of</w:t>
      </w:r>
      <w:r>
        <w:rPr>
          <w:spacing w:val="-10"/>
        </w:rPr>
        <w:t> </w:t>
      </w:r>
      <w:r>
        <w:rPr/>
        <w:t>covalent</w:t>
      </w:r>
      <w:r>
        <w:rPr>
          <w:spacing w:val="-9"/>
        </w:rPr>
        <w:t> </w:t>
      </w:r>
      <w:r>
        <w:rPr/>
        <w:t>bonds</w:t>
      </w:r>
      <w:r>
        <w:rPr>
          <w:spacing w:val="-8"/>
        </w:rPr>
        <w:t> </w:t>
      </w:r>
      <w:r>
        <w:rPr/>
        <w:t>in</w:t>
      </w:r>
      <w:r>
        <w:rPr>
          <w:spacing w:val="-9"/>
        </w:rPr>
        <w:t> </w:t>
      </w:r>
      <w:r>
        <w:rPr/>
        <w:t>order</w:t>
      </w:r>
      <w:r>
        <w:rPr>
          <w:spacing w:val="-8"/>
        </w:rPr>
        <w:t> </w:t>
      </w:r>
      <w:r>
        <w:rPr/>
        <w:t>to</w:t>
      </w:r>
      <w:r>
        <w:rPr>
          <w:spacing w:val="-10"/>
        </w:rPr>
        <w:t> </w:t>
      </w:r>
      <w:r>
        <w:rPr/>
        <w:t>increase</w:t>
      </w:r>
      <w:r>
        <w:rPr>
          <w:spacing w:val="-8"/>
        </w:rPr>
        <w:t> </w:t>
      </w:r>
      <w:r>
        <w:rPr/>
        <w:t>the</w:t>
      </w:r>
      <w:r>
        <w:rPr>
          <w:spacing w:val="-8"/>
        </w:rPr>
        <w:t> </w:t>
      </w:r>
      <w:r>
        <w:rPr/>
        <w:t>hydrogel</w:t>
      </w:r>
      <w:r>
        <w:rPr>
          <w:spacing w:val="-8"/>
        </w:rPr>
        <w:t> </w:t>
      </w:r>
      <w:r>
        <w:rPr/>
        <w:t>resistance</w:t>
      </w:r>
      <w:r>
        <w:rPr>
          <w:spacing w:val="-11"/>
        </w:rPr>
        <w:t> </w:t>
      </w:r>
      <w:r>
        <w:rPr/>
        <w:t>to</w:t>
      </w:r>
      <w:r>
        <w:rPr>
          <w:spacing w:val="-9"/>
        </w:rPr>
        <w:t> </w:t>
      </w:r>
      <w:r>
        <w:rPr/>
        <w:t>the</w:t>
      </w:r>
      <w:r>
        <w:rPr>
          <w:spacing w:val="-10"/>
        </w:rPr>
        <w:t> </w:t>
      </w:r>
      <w:r>
        <w:rPr/>
        <w:t>attacks</w:t>
      </w:r>
      <w:r>
        <w:rPr>
          <w:spacing w:val="-8"/>
        </w:rPr>
        <w:t> </w:t>
      </w:r>
      <w:r>
        <w:rPr/>
        <w:t>of</w:t>
      </w:r>
      <w:r>
        <w:rPr>
          <w:spacing w:val="-9"/>
        </w:rPr>
        <w:t> </w:t>
      </w:r>
      <w:r>
        <w:rPr/>
        <w:t>hyaluronidase</w:t>
      </w:r>
      <w:r>
        <w:rPr>
          <w:spacing w:val="-10"/>
        </w:rPr>
        <w:t> </w:t>
      </w:r>
      <w:r>
        <w:rPr/>
        <w:t>(31,</w:t>
      </w:r>
      <w:r>
        <w:rPr>
          <w:spacing w:val="-9"/>
        </w:rPr>
        <w:t> </w:t>
      </w:r>
      <w:r>
        <w:rPr/>
        <w:t>34), and, as a result, to increase the post-implant duration in the dermis. Usually, the formation of ether bonds</w:t>
      </w:r>
      <w:r>
        <w:rPr>
          <w:spacing w:val="-11"/>
        </w:rPr>
        <w:t> </w:t>
      </w:r>
      <w:r>
        <w:rPr/>
        <w:t>C-O-C</w:t>
      </w:r>
      <w:r>
        <w:rPr>
          <w:spacing w:val="-12"/>
        </w:rPr>
        <w:t> </w:t>
      </w:r>
      <w:r>
        <w:rPr/>
        <w:t>is</w:t>
      </w:r>
      <w:r>
        <w:rPr>
          <w:spacing w:val="-11"/>
        </w:rPr>
        <w:t> </w:t>
      </w:r>
      <w:r>
        <w:rPr/>
        <w:t>sought,</w:t>
      </w:r>
      <w:r>
        <w:rPr>
          <w:spacing w:val="-11"/>
        </w:rPr>
        <w:t> </w:t>
      </w:r>
      <w:r>
        <w:rPr/>
        <w:t>as</w:t>
      </w:r>
      <w:r>
        <w:rPr>
          <w:spacing w:val="-10"/>
        </w:rPr>
        <w:t> </w:t>
      </w:r>
      <w:r>
        <w:rPr/>
        <w:t>they</w:t>
      </w:r>
      <w:r>
        <w:rPr>
          <w:spacing w:val="-11"/>
        </w:rPr>
        <w:t> </w:t>
      </w:r>
      <w:r>
        <w:rPr/>
        <w:t>are</w:t>
      </w:r>
      <w:r>
        <w:rPr>
          <w:spacing w:val="-11"/>
        </w:rPr>
        <w:t> </w:t>
      </w:r>
      <w:r>
        <w:rPr/>
        <w:t>stable</w:t>
      </w:r>
      <w:r>
        <w:rPr>
          <w:spacing w:val="-11"/>
        </w:rPr>
        <w:t> </w:t>
      </w:r>
      <w:r>
        <w:rPr/>
        <w:t>in</w:t>
      </w:r>
      <w:r>
        <w:rPr>
          <w:spacing w:val="-11"/>
        </w:rPr>
        <w:t> </w:t>
      </w:r>
      <w:r>
        <w:rPr/>
        <w:t>physiological</w:t>
      </w:r>
      <w:r>
        <w:rPr>
          <w:spacing w:val="-10"/>
        </w:rPr>
        <w:t> </w:t>
      </w:r>
      <w:r>
        <w:rPr/>
        <w:t>conditions</w:t>
      </w:r>
      <w:r>
        <w:rPr>
          <w:spacing w:val="-12"/>
        </w:rPr>
        <w:t> </w:t>
      </w:r>
      <w:r>
        <w:rPr/>
        <w:t>in</w:t>
      </w:r>
      <w:r>
        <w:rPr>
          <w:spacing w:val="-11"/>
        </w:rPr>
        <w:t> </w:t>
      </w:r>
      <w:r>
        <w:rPr/>
        <w:t>the</w:t>
      </w:r>
      <w:r>
        <w:rPr>
          <w:spacing w:val="-11"/>
        </w:rPr>
        <w:t> </w:t>
      </w:r>
      <w:r>
        <w:rPr/>
        <w:t>dermis.</w:t>
      </w:r>
      <w:r>
        <w:rPr>
          <w:spacing w:val="-11"/>
        </w:rPr>
        <w:t> </w:t>
      </w:r>
      <w:r>
        <w:rPr/>
        <w:t>A</w:t>
      </w:r>
      <w:r>
        <w:rPr>
          <w:spacing w:val="-9"/>
        </w:rPr>
        <w:t> </w:t>
      </w:r>
      <w:r>
        <w:rPr/>
        <w:t>linear</w:t>
      </w:r>
      <w:r>
        <w:rPr>
          <w:spacing w:val="-11"/>
        </w:rPr>
        <w:t> </w:t>
      </w:r>
      <w:r>
        <w:rPr/>
        <w:t>molecule with epoxide functionalities at both ends is usually employed as a crosslinker: the reaction consists in the deprotonation of one hydroxyl group on HA which act as a nucleophile for the opening of the epoxide ring leading to the formation of the C-O-C</w:t>
      </w:r>
      <w:r>
        <w:rPr>
          <w:spacing w:val="-7"/>
        </w:rPr>
        <w:t> </w:t>
      </w:r>
      <w:r>
        <w:rPr/>
        <w:t>bond.</w:t>
      </w:r>
    </w:p>
    <w:p>
      <w:pPr>
        <w:pStyle w:val="BodyText"/>
        <w:spacing w:line="480" w:lineRule="auto"/>
        <w:ind w:left="1114" w:right="112"/>
        <w:jc w:val="both"/>
      </w:pPr>
      <w:r>
        <w:rPr/>
        <w:t>Polyethylene glycol diglycidyl ether (PEGDE) is a difunctional, highly water-soluble crosslinker for amine-, hydroxyl-, and carboxyl-functional polymers.</w:t>
      </w:r>
    </w:p>
    <w:p>
      <w:pPr>
        <w:pStyle w:val="BodyText"/>
        <w:spacing w:line="480" w:lineRule="auto"/>
        <w:ind w:left="1114" w:right="112"/>
        <w:jc w:val="both"/>
      </w:pPr>
      <w:r>
        <w:rPr/>
        <w:t>Polyethylene glycol (PEG) is a highly investigated polymer for the covalent modification of biological</w:t>
      </w:r>
      <w:r>
        <w:rPr>
          <w:spacing w:val="-7"/>
        </w:rPr>
        <w:t> </w:t>
      </w:r>
      <w:r>
        <w:rPr/>
        <w:t>macromolecules</w:t>
      </w:r>
      <w:r>
        <w:rPr>
          <w:spacing w:val="-7"/>
        </w:rPr>
        <w:t> </w:t>
      </w:r>
      <w:r>
        <w:rPr/>
        <w:t>and</w:t>
      </w:r>
      <w:r>
        <w:rPr>
          <w:spacing w:val="-7"/>
        </w:rPr>
        <w:t> </w:t>
      </w:r>
      <w:r>
        <w:rPr/>
        <w:t>surfaces</w:t>
      </w:r>
      <w:r>
        <w:rPr>
          <w:spacing w:val="-7"/>
        </w:rPr>
        <w:t> </w:t>
      </w:r>
      <w:r>
        <w:rPr/>
        <w:t>for</w:t>
      </w:r>
      <w:r>
        <w:rPr>
          <w:spacing w:val="-6"/>
        </w:rPr>
        <w:t> </w:t>
      </w:r>
      <w:r>
        <w:rPr/>
        <w:t>many</w:t>
      </w:r>
      <w:r>
        <w:rPr>
          <w:spacing w:val="-7"/>
        </w:rPr>
        <w:t> </w:t>
      </w:r>
      <w:r>
        <w:rPr/>
        <w:t>pharmaceutical</w:t>
      </w:r>
      <w:r>
        <w:rPr>
          <w:spacing w:val="-7"/>
        </w:rPr>
        <w:t> </w:t>
      </w:r>
      <w:r>
        <w:rPr/>
        <w:t>and</w:t>
      </w:r>
      <w:r>
        <w:rPr>
          <w:spacing w:val="-7"/>
        </w:rPr>
        <w:t> </w:t>
      </w:r>
      <w:r>
        <w:rPr/>
        <w:t>biotechnical</w:t>
      </w:r>
      <w:r>
        <w:rPr>
          <w:spacing w:val="-7"/>
        </w:rPr>
        <w:t> </w:t>
      </w:r>
      <w:r>
        <w:rPr/>
        <w:t>applications</w:t>
      </w:r>
      <w:r>
        <w:rPr>
          <w:spacing w:val="-8"/>
        </w:rPr>
        <w:t> </w:t>
      </w:r>
      <w:r>
        <w:rPr/>
        <w:t>(12). PEG</w:t>
      </w:r>
      <w:r>
        <w:rPr>
          <w:spacing w:val="-4"/>
        </w:rPr>
        <w:t> </w:t>
      </w:r>
      <w:r>
        <w:rPr/>
        <w:t>is</w:t>
      </w:r>
      <w:r>
        <w:rPr>
          <w:spacing w:val="-2"/>
        </w:rPr>
        <w:t> </w:t>
      </w:r>
      <w:r>
        <w:rPr/>
        <w:t>a</w:t>
      </w:r>
      <w:r>
        <w:rPr>
          <w:spacing w:val="-3"/>
        </w:rPr>
        <w:t> </w:t>
      </w:r>
      <w:r>
        <w:rPr/>
        <w:t>linear</w:t>
      </w:r>
      <w:r>
        <w:rPr>
          <w:spacing w:val="-2"/>
        </w:rPr>
        <w:t> </w:t>
      </w:r>
      <w:r>
        <w:rPr/>
        <w:t>or</w:t>
      </w:r>
      <w:r>
        <w:rPr>
          <w:spacing w:val="-2"/>
        </w:rPr>
        <w:t> </w:t>
      </w:r>
      <w:r>
        <w:rPr/>
        <w:t>branched</w:t>
      </w:r>
      <w:r>
        <w:rPr>
          <w:spacing w:val="-4"/>
        </w:rPr>
        <w:t> </w:t>
      </w:r>
      <w:r>
        <w:rPr/>
        <w:t>polyether</w:t>
      </w:r>
      <w:r>
        <w:rPr>
          <w:spacing w:val="-2"/>
        </w:rPr>
        <w:t> </w:t>
      </w:r>
      <w:r>
        <w:rPr/>
        <w:t>with</w:t>
      </w:r>
      <w:r>
        <w:rPr>
          <w:spacing w:val="-5"/>
        </w:rPr>
        <w:t> </w:t>
      </w:r>
      <w:r>
        <w:rPr/>
        <w:t>a</w:t>
      </w:r>
      <w:r>
        <w:rPr>
          <w:spacing w:val="-2"/>
        </w:rPr>
        <w:t> </w:t>
      </w:r>
      <w:r>
        <w:rPr/>
        <w:t>wide</w:t>
      </w:r>
      <w:r>
        <w:rPr>
          <w:spacing w:val="-2"/>
        </w:rPr>
        <w:t> </w:t>
      </w:r>
      <w:r>
        <w:rPr/>
        <w:t>range</w:t>
      </w:r>
      <w:r>
        <w:rPr>
          <w:spacing w:val="-5"/>
        </w:rPr>
        <w:t> </w:t>
      </w:r>
      <w:r>
        <w:rPr/>
        <w:t>of</w:t>
      </w:r>
      <w:r>
        <w:rPr>
          <w:spacing w:val="-3"/>
        </w:rPr>
        <w:t> </w:t>
      </w:r>
      <w:r>
        <w:rPr/>
        <w:t>applications</w:t>
      </w:r>
      <w:r>
        <w:rPr>
          <w:spacing w:val="-4"/>
        </w:rPr>
        <w:t> </w:t>
      </w:r>
      <w:r>
        <w:rPr/>
        <w:t>in</w:t>
      </w:r>
      <w:r>
        <w:rPr>
          <w:spacing w:val="-4"/>
        </w:rPr>
        <w:t> </w:t>
      </w:r>
      <w:r>
        <w:rPr/>
        <w:t>the</w:t>
      </w:r>
      <w:r>
        <w:rPr>
          <w:spacing w:val="-4"/>
        </w:rPr>
        <w:t> </w:t>
      </w:r>
      <w:r>
        <w:rPr/>
        <w:t>biomedical</w:t>
      </w:r>
      <w:r>
        <w:rPr>
          <w:spacing w:val="-4"/>
        </w:rPr>
        <w:t> </w:t>
      </w:r>
      <w:r>
        <w:rPr/>
        <w:t>field.</w:t>
      </w:r>
      <w:r>
        <w:rPr>
          <w:spacing w:val="-3"/>
        </w:rPr>
        <w:t> </w:t>
      </w:r>
      <w:r>
        <w:rPr/>
        <w:t>PEG is</w:t>
      </w:r>
      <w:r>
        <w:rPr>
          <w:spacing w:val="-6"/>
        </w:rPr>
        <w:t> </w:t>
      </w:r>
      <w:r>
        <w:rPr/>
        <w:t>a</w:t>
      </w:r>
      <w:r>
        <w:rPr>
          <w:spacing w:val="-6"/>
        </w:rPr>
        <w:t> </w:t>
      </w:r>
      <w:r>
        <w:rPr/>
        <w:t>non-toxic,</w:t>
      </w:r>
      <w:r>
        <w:rPr>
          <w:spacing w:val="-6"/>
        </w:rPr>
        <w:t> </w:t>
      </w:r>
      <w:r>
        <w:rPr/>
        <w:t>non-immunogenic</w:t>
      </w:r>
      <w:r>
        <w:rPr>
          <w:spacing w:val="-6"/>
        </w:rPr>
        <w:t> </w:t>
      </w:r>
      <w:r>
        <w:rPr/>
        <w:t>polymer</w:t>
      </w:r>
      <w:r>
        <w:rPr>
          <w:spacing w:val="-5"/>
        </w:rPr>
        <w:t> </w:t>
      </w:r>
      <w:r>
        <w:rPr/>
        <w:t>that</w:t>
      </w:r>
      <w:r>
        <w:rPr>
          <w:spacing w:val="-6"/>
        </w:rPr>
        <w:t> </w:t>
      </w:r>
      <w:r>
        <w:rPr/>
        <w:t>is</w:t>
      </w:r>
      <w:r>
        <w:rPr>
          <w:spacing w:val="-7"/>
        </w:rPr>
        <w:t> </w:t>
      </w:r>
      <w:r>
        <w:rPr/>
        <w:t>often</w:t>
      </w:r>
      <w:r>
        <w:rPr>
          <w:spacing w:val="-6"/>
        </w:rPr>
        <w:t> </w:t>
      </w:r>
      <w:r>
        <w:rPr/>
        <w:t>referred</w:t>
      </w:r>
      <w:r>
        <w:rPr>
          <w:spacing w:val="-6"/>
        </w:rPr>
        <w:t> </w:t>
      </w:r>
      <w:r>
        <w:rPr/>
        <w:t>to</w:t>
      </w:r>
      <w:r>
        <w:rPr>
          <w:spacing w:val="-5"/>
        </w:rPr>
        <w:t> </w:t>
      </w:r>
      <w:r>
        <w:rPr/>
        <w:t>as</w:t>
      </w:r>
      <w:r>
        <w:rPr>
          <w:spacing w:val="-6"/>
        </w:rPr>
        <w:t> </w:t>
      </w:r>
      <w:r>
        <w:rPr/>
        <w:t>a</w:t>
      </w:r>
      <w:r>
        <w:rPr>
          <w:spacing w:val="-6"/>
        </w:rPr>
        <w:t> </w:t>
      </w:r>
      <w:r>
        <w:rPr/>
        <w:t>“stealthy</w:t>
      </w:r>
      <w:r>
        <w:rPr>
          <w:spacing w:val="-6"/>
        </w:rPr>
        <w:t> </w:t>
      </w:r>
      <w:r>
        <w:rPr/>
        <w:t>molecule”</w:t>
      </w:r>
      <w:r>
        <w:rPr>
          <w:spacing w:val="-5"/>
        </w:rPr>
        <w:t> </w:t>
      </w:r>
      <w:r>
        <w:rPr/>
        <w:t>because</w:t>
      </w:r>
      <w:r>
        <w:rPr>
          <w:spacing w:val="-7"/>
        </w:rPr>
        <w:t> </w:t>
      </w:r>
      <w:r>
        <w:rPr/>
        <w:t>it is not recognized by biological molecules like proteins. PEG has been widely used for its ability to form stealth compounds upon conjugation with other polymers or protein because of its ability to escape the mononuclear phagocyte system in the bloodstream</w:t>
      </w:r>
      <w:r>
        <w:rPr>
          <w:spacing w:val="-7"/>
        </w:rPr>
        <w:t> </w:t>
      </w:r>
      <w:r>
        <w:rPr/>
        <w:t>(13).</w:t>
      </w:r>
    </w:p>
    <w:p>
      <w:pPr>
        <w:pStyle w:val="BodyText"/>
        <w:spacing w:line="480" w:lineRule="auto"/>
        <w:ind w:left="1114" w:right="113"/>
        <w:jc w:val="both"/>
      </w:pPr>
      <w:r>
        <w:rPr/>
        <w:t>PEG is generally considered to have low toxicity by all routes of administration (14): its</w:t>
      </w:r>
      <w:r>
        <w:rPr>
          <w:spacing w:val="-34"/>
        </w:rPr>
        <w:t> </w:t>
      </w:r>
      <w:r>
        <w:rPr/>
        <w:t>metabolism was reviewed by Webster et al. (15). The molecular weight of PEGD is not known. In general,</w:t>
      </w:r>
      <w:r>
        <w:rPr>
          <w:spacing w:val="18"/>
        </w:rPr>
        <w:t> </w:t>
      </w:r>
      <w:r>
        <w:rPr/>
        <w:t>PEG</w:t>
      </w:r>
    </w:p>
    <w:p>
      <w:pPr>
        <w:spacing w:after="0" w:line="480" w:lineRule="auto"/>
        <w:jc w:val="both"/>
        <w:sectPr>
          <w:pgSz w:w="11910" w:h="16840"/>
          <w:pgMar w:header="0" w:footer="367" w:top="1320" w:bottom="560" w:left="20" w:right="1020"/>
        </w:sectPr>
      </w:pPr>
    </w:p>
    <w:p>
      <w:pPr>
        <w:pStyle w:val="BodyText"/>
        <w:spacing w:line="480" w:lineRule="auto" w:before="75"/>
        <w:ind w:left="1114" w:right="113"/>
        <w:jc w:val="both"/>
      </w:pPr>
      <w:r>
        <w:rPr/>
        <w:t>is not considered biodegradable except for low molecular weight species (&lt;400 Da) that may be degraded by alcohol dehydrogenase in vivo (12, 13, 15-28).</w:t>
      </w:r>
    </w:p>
    <w:p>
      <w:pPr>
        <w:pStyle w:val="BodyText"/>
        <w:spacing w:line="480" w:lineRule="auto"/>
        <w:ind w:left="1113" w:right="112"/>
        <w:jc w:val="both"/>
      </w:pPr>
      <w:r>
        <w:rPr/>
        <w:drawing>
          <wp:anchor distT="0" distB="0" distL="0" distR="0" allowOverlap="1" layoutInCell="1" locked="0" behindDoc="0" simplePos="0" relativeHeight="15732224">
            <wp:simplePos x="0" y="0"/>
            <wp:positionH relativeFrom="page">
              <wp:posOffset>12700</wp:posOffset>
            </wp:positionH>
            <wp:positionV relativeFrom="paragraph">
              <wp:posOffset>629832</wp:posOffset>
            </wp:positionV>
            <wp:extent cx="876172" cy="6234938"/>
            <wp:effectExtent l="0" t="0" r="0" b="0"/>
            <wp:wrapNone/>
            <wp:docPr id="13" name="image1.png"/>
            <wp:cNvGraphicFramePr>
              <a:graphicFrameLocks noChangeAspect="1"/>
            </wp:cNvGraphicFramePr>
            <a:graphic>
              <a:graphicData uri="http://schemas.openxmlformats.org/drawingml/2006/picture">
                <pic:pic>
                  <pic:nvPicPr>
                    <pic:cNvPr id="14" name="image1.png"/>
                    <pic:cNvPicPr/>
                  </pic:nvPicPr>
                  <pic:blipFill>
                    <a:blip r:embed="rId6" cstate="print"/>
                    <a:stretch>
                      <a:fillRect/>
                    </a:stretch>
                  </pic:blipFill>
                  <pic:spPr>
                    <a:xfrm>
                      <a:off x="0" y="0"/>
                      <a:ext cx="876172" cy="6234938"/>
                    </a:xfrm>
                    <a:prstGeom prst="rect">
                      <a:avLst/>
                    </a:prstGeom>
                  </pic:spPr>
                </pic:pic>
              </a:graphicData>
            </a:graphic>
          </wp:anchor>
        </w:drawing>
      </w:r>
      <w:r>
        <w:rPr/>
        <w:t>Its application as a crosslinker for HA hydrogels stems from the combination of its low toxicity and the good rheological properties of PEG crosslinked hydrogels (33).</w:t>
      </w:r>
    </w:p>
    <w:p>
      <w:pPr>
        <w:pStyle w:val="BodyText"/>
        <w:spacing w:line="480" w:lineRule="auto"/>
        <w:ind w:left="1113" w:right="112"/>
        <w:jc w:val="both"/>
      </w:pPr>
      <w:r>
        <w:rPr/>
        <w:t>The</w:t>
      </w:r>
      <w:r>
        <w:rPr>
          <w:spacing w:val="-12"/>
        </w:rPr>
        <w:t> </w:t>
      </w:r>
      <w:r>
        <w:rPr/>
        <w:t>aim</w:t>
      </w:r>
      <w:r>
        <w:rPr>
          <w:spacing w:val="-13"/>
        </w:rPr>
        <w:t> </w:t>
      </w:r>
      <w:r>
        <w:rPr/>
        <w:t>of</w:t>
      </w:r>
      <w:r>
        <w:rPr>
          <w:spacing w:val="-12"/>
        </w:rPr>
        <w:t> </w:t>
      </w:r>
      <w:r>
        <w:rPr/>
        <w:t>this</w:t>
      </w:r>
      <w:r>
        <w:rPr>
          <w:spacing w:val="-12"/>
        </w:rPr>
        <w:t> </w:t>
      </w:r>
      <w:r>
        <w:rPr/>
        <w:t>study</w:t>
      </w:r>
      <w:r>
        <w:rPr>
          <w:spacing w:val="-12"/>
        </w:rPr>
        <w:t> </w:t>
      </w:r>
      <w:r>
        <w:rPr/>
        <w:t>was</w:t>
      </w:r>
      <w:r>
        <w:rPr>
          <w:spacing w:val="-12"/>
        </w:rPr>
        <w:t> </w:t>
      </w:r>
      <w:r>
        <w:rPr/>
        <w:t>to</w:t>
      </w:r>
      <w:r>
        <w:rPr>
          <w:spacing w:val="-11"/>
        </w:rPr>
        <w:t> </w:t>
      </w:r>
      <w:r>
        <w:rPr/>
        <w:t>evaluate</w:t>
      </w:r>
      <w:r>
        <w:rPr>
          <w:spacing w:val="-13"/>
        </w:rPr>
        <w:t> </w:t>
      </w:r>
      <w:r>
        <w:rPr/>
        <w:t>the</w:t>
      </w:r>
      <w:r>
        <w:rPr>
          <w:spacing w:val="-12"/>
        </w:rPr>
        <w:t> </w:t>
      </w:r>
      <w:r>
        <w:rPr/>
        <w:t>chemical,</w:t>
      </w:r>
      <w:r>
        <w:rPr>
          <w:spacing w:val="-12"/>
        </w:rPr>
        <w:t> </w:t>
      </w:r>
      <w:r>
        <w:rPr/>
        <w:t>viscoelastic</w:t>
      </w:r>
      <w:r>
        <w:rPr>
          <w:spacing w:val="-12"/>
        </w:rPr>
        <w:t> </w:t>
      </w:r>
      <w:r>
        <w:rPr/>
        <w:t>and</w:t>
      </w:r>
      <w:r>
        <w:rPr>
          <w:spacing w:val="-12"/>
        </w:rPr>
        <w:t> </w:t>
      </w:r>
      <w:r>
        <w:rPr/>
        <w:t>biological</w:t>
      </w:r>
      <w:r>
        <w:rPr>
          <w:spacing w:val="-12"/>
        </w:rPr>
        <w:t> </w:t>
      </w:r>
      <w:r>
        <w:rPr/>
        <w:t>properties</w:t>
      </w:r>
      <w:r>
        <w:rPr>
          <w:spacing w:val="-11"/>
        </w:rPr>
        <w:t> </w:t>
      </w:r>
      <w:r>
        <w:rPr/>
        <w:t>of</w:t>
      </w:r>
      <w:r>
        <w:rPr>
          <w:spacing w:val="-13"/>
        </w:rPr>
        <w:t> </w:t>
      </w:r>
      <w:r>
        <w:rPr/>
        <w:t>a</w:t>
      </w:r>
      <w:r>
        <w:rPr>
          <w:spacing w:val="-12"/>
        </w:rPr>
        <w:t> </w:t>
      </w:r>
      <w:r>
        <w:rPr/>
        <w:t>recently introduced hydrogel based on PEG-crosslinked hyaluronic acid with a high concentration of HA (28 mg/ml), commercialized as Neauvia Intense (MatexLab, SA). Firstly, the fundamental chemical features and the viscoelastic properties of the hydrogel will be dealt with. In the second part, histological studies will be presented to establish the compatibility, behaviour and effectiveness of the novel</w:t>
      </w:r>
      <w:r>
        <w:rPr>
          <w:spacing w:val="-1"/>
        </w:rPr>
        <w:t> </w:t>
      </w:r>
      <w:r>
        <w:rPr/>
        <w:t>hydrogel.</w:t>
      </w:r>
    </w:p>
    <w:p>
      <w:pPr>
        <w:pStyle w:val="BodyText"/>
        <w:spacing w:before="9"/>
        <w:rPr>
          <w:sz w:val="38"/>
        </w:rPr>
      </w:pPr>
    </w:p>
    <w:p>
      <w:pPr>
        <w:pStyle w:val="Heading1"/>
      </w:pPr>
      <w:bookmarkStart w:name="METHODS" w:id="5"/>
      <w:bookmarkEnd w:id="5"/>
      <w:r>
        <w:rPr>
          <w:b w:val="0"/>
        </w:rPr>
      </w:r>
      <w:r>
        <w:rPr/>
        <w:t>METHODS</w:t>
      </w:r>
    </w:p>
    <w:p>
      <w:pPr>
        <w:pStyle w:val="BodyText"/>
        <w:rPr>
          <w:b/>
          <w:sz w:val="26"/>
        </w:rPr>
      </w:pPr>
    </w:p>
    <w:p>
      <w:pPr>
        <w:pStyle w:val="BodyText"/>
        <w:rPr>
          <w:b/>
          <w:sz w:val="26"/>
        </w:rPr>
      </w:pPr>
    </w:p>
    <w:p>
      <w:pPr>
        <w:pStyle w:val="BodyText"/>
        <w:spacing w:before="226"/>
        <w:ind w:left="1114"/>
        <w:jc w:val="both"/>
      </w:pPr>
      <w:r>
        <w:rPr/>
        <w:t>HA qualitative identification</w:t>
      </w:r>
    </w:p>
    <w:p>
      <w:pPr>
        <w:pStyle w:val="BodyText"/>
      </w:pPr>
    </w:p>
    <w:p>
      <w:pPr>
        <w:pStyle w:val="BodyText"/>
        <w:spacing w:line="480" w:lineRule="auto"/>
        <w:ind w:left="1113" w:right="112"/>
        <w:jc w:val="both"/>
      </w:pPr>
      <w:r>
        <w:rPr/>
        <w:t>The presence of HA in the final product, i.e. after sterilization of the hydrogel, was assessed by 13C CP-MAS Nuclear Magnetic Resonance (NMR). The spectrum of the sample (crosslinked HA hydrogel, HA 28 mg/ml, lot HA2161101) was registered after oven drying. The spectrum of pure hyaluronic acid was registered for comparison purposes.</w:t>
      </w:r>
    </w:p>
    <w:p>
      <w:pPr>
        <w:pStyle w:val="BodyText"/>
        <w:spacing w:before="1"/>
        <w:ind w:left="1113"/>
        <w:jc w:val="both"/>
      </w:pPr>
      <w:r>
        <w:rPr/>
        <w:t>HA quantitative determination</w:t>
      </w:r>
    </w:p>
    <w:p>
      <w:pPr>
        <w:pStyle w:val="BodyText"/>
        <w:spacing w:before="11"/>
        <w:rPr>
          <w:sz w:val="23"/>
        </w:rPr>
      </w:pPr>
    </w:p>
    <w:p>
      <w:pPr>
        <w:pStyle w:val="BodyText"/>
        <w:spacing w:line="480" w:lineRule="auto"/>
        <w:ind w:left="1113" w:right="113"/>
        <w:jc w:val="both"/>
      </w:pPr>
      <w:r>
        <w:rPr/>
        <w:t>For the quantitative analysis of the content of HA it was created a specific protocol optimized from the “EP01/2005: 1472C” method (29, 30, 32).</w:t>
      </w:r>
    </w:p>
    <w:p>
      <w:pPr>
        <w:pStyle w:val="BodyText"/>
        <w:spacing w:line="480" w:lineRule="auto"/>
        <w:ind w:left="1113" w:right="111"/>
        <w:jc w:val="both"/>
      </w:pPr>
      <w:r>
        <w:rPr/>
        <w:t>In brief, hyaluronic acid is reacted with carbazole after digestion in sulfuric acid in the presence of tetraborate leading to the formation of a product with maximum absorbance at 530 nm. The</w:t>
      </w:r>
    </w:p>
    <w:p>
      <w:pPr>
        <w:spacing w:after="0" w:line="480" w:lineRule="auto"/>
        <w:jc w:val="both"/>
        <w:sectPr>
          <w:pgSz w:w="11910" w:h="16840"/>
          <w:pgMar w:header="0" w:footer="367" w:top="1320" w:bottom="560" w:left="20" w:right="1020"/>
        </w:sectPr>
      </w:pPr>
    </w:p>
    <w:p>
      <w:pPr>
        <w:pStyle w:val="BodyText"/>
        <w:spacing w:line="480" w:lineRule="auto" w:before="75"/>
        <w:ind w:left="1114" w:right="113"/>
        <w:jc w:val="both"/>
      </w:pPr>
      <w:r>
        <w:rPr/>
        <w:t>percentage content of sodium hyaluronate was then calculated by a calibration curve obtained by measuring standard solutions of the</w:t>
      </w:r>
      <w:r>
        <w:rPr>
          <w:spacing w:val="-2"/>
        </w:rPr>
        <w:t> </w:t>
      </w:r>
      <w:r>
        <w:rPr/>
        <w:t>substrate.</w:t>
      </w:r>
    </w:p>
    <w:p>
      <w:pPr>
        <w:pStyle w:val="BodyText"/>
        <w:ind w:left="1113"/>
        <w:jc w:val="both"/>
      </w:pPr>
      <w:r>
        <w:rPr/>
        <w:t>Detection of residual PEGDE in the</w:t>
      </w:r>
      <w:r>
        <w:rPr>
          <w:spacing w:val="-11"/>
        </w:rPr>
        <w:t> </w:t>
      </w:r>
      <w:r>
        <w:rPr/>
        <w:t>hydrogel</w:t>
      </w:r>
    </w:p>
    <w:p>
      <w:pPr>
        <w:pStyle w:val="BodyText"/>
      </w:pPr>
    </w:p>
    <w:p>
      <w:pPr>
        <w:pStyle w:val="BodyText"/>
        <w:spacing w:line="480" w:lineRule="auto"/>
        <w:ind w:left="1113" w:right="111"/>
        <w:jc w:val="both"/>
      </w:pPr>
      <w:r>
        <w:rPr/>
        <w:drawing>
          <wp:anchor distT="0" distB="0" distL="0" distR="0" allowOverlap="1" layoutInCell="1" locked="0" behindDoc="0" simplePos="0" relativeHeight="15732736">
            <wp:simplePos x="0" y="0"/>
            <wp:positionH relativeFrom="page">
              <wp:posOffset>12700</wp:posOffset>
            </wp:positionH>
            <wp:positionV relativeFrom="paragraph">
              <wp:posOffset>279312</wp:posOffset>
            </wp:positionV>
            <wp:extent cx="876172" cy="6234938"/>
            <wp:effectExtent l="0" t="0" r="0" b="0"/>
            <wp:wrapNone/>
            <wp:docPr id="15" name="image1.png"/>
            <wp:cNvGraphicFramePr>
              <a:graphicFrameLocks noChangeAspect="1"/>
            </wp:cNvGraphicFramePr>
            <a:graphic>
              <a:graphicData uri="http://schemas.openxmlformats.org/drawingml/2006/picture">
                <pic:pic>
                  <pic:nvPicPr>
                    <pic:cNvPr id="16" name="image1.png"/>
                    <pic:cNvPicPr/>
                  </pic:nvPicPr>
                  <pic:blipFill>
                    <a:blip r:embed="rId6" cstate="print"/>
                    <a:stretch>
                      <a:fillRect/>
                    </a:stretch>
                  </pic:blipFill>
                  <pic:spPr>
                    <a:xfrm>
                      <a:off x="0" y="0"/>
                      <a:ext cx="876172" cy="6234938"/>
                    </a:xfrm>
                    <a:prstGeom prst="rect">
                      <a:avLst/>
                    </a:prstGeom>
                  </pic:spPr>
                </pic:pic>
              </a:graphicData>
            </a:graphic>
          </wp:anchor>
        </w:drawing>
      </w:r>
      <w:r>
        <w:rPr/>
        <w:t>The presence of residual unreacted crosslinker (PEGDE) in the hydrogel was investigated by mass spectrometry at the laboratory CNR IPCB of Catania (Italy). A Thermo Exactive Plus Orbitrap was used for the measurements which were performed on the ethanolic extract of the sample.</w:t>
      </w:r>
    </w:p>
    <w:p>
      <w:pPr>
        <w:pStyle w:val="BodyText"/>
        <w:spacing w:before="1"/>
        <w:ind w:left="1113"/>
        <w:jc w:val="both"/>
      </w:pPr>
      <w:r>
        <w:rPr/>
        <w:t>Viscoelastic properties</w:t>
      </w:r>
    </w:p>
    <w:p>
      <w:pPr>
        <w:pStyle w:val="BodyText"/>
        <w:spacing w:before="11"/>
        <w:rPr>
          <w:sz w:val="23"/>
        </w:rPr>
      </w:pPr>
    </w:p>
    <w:p>
      <w:pPr>
        <w:pStyle w:val="BodyText"/>
        <w:spacing w:line="480" w:lineRule="auto"/>
        <w:ind w:left="1113" w:right="112"/>
        <w:jc w:val="both"/>
      </w:pPr>
      <w:r>
        <w:rPr/>
        <w:t>The evaluation of the mechanical properties of the PEGylated HA hydrogel was performed by a Kinexus Instrument Rheometer at a temperature of 25 ° C. A 20 mm diameter plate is used in combination with a Peltier bottom plate. Each test was performed three times to validate reproducibility.</w:t>
      </w:r>
    </w:p>
    <w:p>
      <w:pPr>
        <w:pStyle w:val="BodyText"/>
        <w:spacing w:line="480" w:lineRule="auto"/>
        <w:ind w:left="1113" w:right="111"/>
        <w:jc w:val="both"/>
      </w:pPr>
      <w:r>
        <w:rPr/>
        <w:t>Before measurement, the instrument calibration was verified using a certified standard oil. Then the hydrogel can be pressed through a needle to deposit the hydrogel on the plate. . The excess of the product</w:t>
      </w:r>
      <w:r>
        <w:rPr>
          <w:spacing w:val="-4"/>
        </w:rPr>
        <w:t> </w:t>
      </w:r>
      <w:r>
        <w:rPr/>
        <w:t>was</w:t>
      </w:r>
      <w:r>
        <w:rPr>
          <w:spacing w:val="-5"/>
        </w:rPr>
        <w:t> </w:t>
      </w:r>
      <w:r>
        <w:rPr/>
        <w:t>removed</w:t>
      </w:r>
      <w:r>
        <w:rPr>
          <w:spacing w:val="-5"/>
        </w:rPr>
        <w:t> </w:t>
      </w:r>
      <w:r>
        <w:rPr/>
        <w:t>by</w:t>
      </w:r>
      <w:r>
        <w:rPr>
          <w:spacing w:val="-3"/>
        </w:rPr>
        <w:t> </w:t>
      </w:r>
      <w:r>
        <w:rPr/>
        <w:t>a</w:t>
      </w:r>
      <w:r>
        <w:rPr>
          <w:spacing w:val="-4"/>
        </w:rPr>
        <w:t> </w:t>
      </w:r>
      <w:r>
        <w:rPr/>
        <w:t>spatula.</w:t>
      </w:r>
      <w:r>
        <w:rPr>
          <w:spacing w:val="-5"/>
        </w:rPr>
        <w:t> </w:t>
      </w:r>
      <w:r>
        <w:rPr/>
        <w:t>After</w:t>
      </w:r>
      <w:r>
        <w:rPr>
          <w:spacing w:val="-3"/>
        </w:rPr>
        <w:t> </w:t>
      </w:r>
      <w:r>
        <w:rPr/>
        <w:t>establishing</w:t>
      </w:r>
      <w:r>
        <w:rPr>
          <w:spacing w:val="-4"/>
        </w:rPr>
        <w:t> </w:t>
      </w:r>
      <w:r>
        <w:rPr/>
        <w:t>the</w:t>
      </w:r>
      <w:r>
        <w:rPr>
          <w:spacing w:val="-5"/>
        </w:rPr>
        <w:t> </w:t>
      </w:r>
      <w:r>
        <w:rPr/>
        <w:t>distance,</w:t>
      </w:r>
      <w:r>
        <w:rPr>
          <w:spacing w:val="-4"/>
        </w:rPr>
        <w:t> </w:t>
      </w:r>
      <w:r>
        <w:rPr/>
        <w:t>the</w:t>
      </w:r>
      <w:r>
        <w:rPr>
          <w:spacing w:val="-5"/>
        </w:rPr>
        <w:t> </w:t>
      </w:r>
      <w:r>
        <w:rPr/>
        <w:t>sample</w:t>
      </w:r>
      <w:r>
        <w:rPr>
          <w:spacing w:val="-4"/>
        </w:rPr>
        <w:t> </w:t>
      </w:r>
      <w:r>
        <w:rPr/>
        <w:t>temperature</w:t>
      </w:r>
      <w:r>
        <w:rPr>
          <w:spacing w:val="-4"/>
        </w:rPr>
        <w:t> </w:t>
      </w:r>
      <w:r>
        <w:rPr/>
        <w:t>was</w:t>
      </w:r>
      <w:r>
        <w:rPr>
          <w:spacing w:val="-5"/>
        </w:rPr>
        <w:t> </w:t>
      </w:r>
      <w:r>
        <w:rPr/>
        <w:t>set</w:t>
      </w:r>
      <w:r>
        <w:rPr>
          <w:spacing w:val="-3"/>
        </w:rPr>
        <w:t> </w:t>
      </w:r>
      <w:r>
        <w:rPr/>
        <w:t>to 25°C with an accuracy of</w:t>
      </w:r>
      <w:r>
        <w:rPr>
          <w:spacing w:val="-3"/>
        </w:rPr>
        <w:t> </w:t>
      </w:r>
      <w:r>
        <w:rPr/>
        <w:t>0.5°C.</w:t>
      </w:r>
    </w:p>
    <w:p>
      <w:pPr>
        <w:pStyle w:val="BodyText"/>
        <w:spacing w:line="480" w:lineRule="auto"/>
        <w:ind w:left="1113" w:right="112"/>
        <w:jc w:val="both"/>
      </w:pPr>
      <w:r>
        <w:rPr/>
        <w:t>Cohesive strength measurements were performed by setting the rheometer to a Normal Force mode: the upper plate is put in contact with 2.5 g of gel and is lowered toward the bottom plate, thus compressing the gel. The course is stopped when 60% of compression is reached. The resulting normal force is measured during the experiment, from 0 to 60% compression rate. Gel parameters,</w:t>
      </w:r>
    </w:p>
    <w:p>
      <w:pPr>
        <w:pStyle w:val="BodyText"/>
        <w:spacing w:line="480" w:lineRule="auto"/>
        <w:ind w:left="1113" w:right="111"/>
        <w:jc w:val="both"/>
      </w:pPr>
      <w:r>
        <w:rPr/>
        <w:t>i.e.</w:t>
      </w:r>
      <w:r>
        <w:rPr>
          <w:spacing w:val="-8"/>
        </w:rPr>
        <w:t> </w:t>
      </w:r>
      <w:r>
        <w:rPr/>
        <w:t>hardness</w:t>
      </w:r>
      <w:r>
        <w:rPr>
          <w:spacing w:val="-8"/>
        </w:rPr>
        <w:t> </w:t>
      </w:r>
      <w:r>
        <w:rPr/>
        <w:t>and</w:t>
      </w:r>
      <w:r>
        <w:rPr>
          <w:spacing w:val="-7"/>
        </w:rPr>
        <w:t> </w:t>
      </w:r>
      <w:r>
        <w:rPr/>
        <w:t>cohesivity,</w:t>
      </w:r>
      <w:r>
        <w:rPr>
          <w:spacing w:val="-7"/>
        </w:rPr>
        <w:t> </w:t>
      </w:r>
      <w:r>
        <w:rPr/>
        <w:t>were</w:t>
      </w:r>
      <w:r>
        <w:rPr>
          <w:spacing w:val="-7"/>
        </w:rPr>
        <w:t> </w:t>
      </w:r>
      <w:r>
        <w:rPr/>
        <w:t>determined</w:t>
      </w:r>
      <w:r>
        <w:rPr>
          <w:spacing w:val="-8"/>
        </w:rPr>
        <w:t> </w:t>
      </w:r>
      <w:r>
        <w:rPr/>
        <w:t>from</w:t>
      </w:r>
      <w:r>
        <w:rPr>
          <w:spacing w:val="-8"/>
        </w:rPr>
        <w:t> </w:t>
      </w:r>
      <w:r>
        <w:rPr/>
        <w:t>the</w:t>
      </w:r>
      <w:r>
        <w:rPr>
          <w:spacing w:val="-7"/>
        </w:rPr>
        <w:t> </w:t>
      </w:r>
      <w:r>
        <w:rPr/>
        <w:t>resultant</w:t>
      </w:r>
      <w:r>
        <w:rPr>
          <w:spacing w:val="-7"/>
        </w:rPr>
        <w:t> </w:t>
      </w:r>
      <w:r>
        <w:rPr/>
        <w:t>force-time</w:t>
      </w:r>
      <w:r>
        <w:rPr>
          <w:spacing w:val="-6"/>
        </w:rPr>
        <w:t> </w:t>
      </w:r>
      <w:r>
        <w:rPr/>
        <w:t>plot.</w:t>
      </w:r>
      <w:r>
        <w:rPr>
          <w:spacing w:val="-8"/>
        </w:rPr>
        <w:t> </w:t>
      </w:r>
      <w:r>
        <w:rPr/>
        <w:t>The</w:t>
      </w:r>
      <w:r>
        <w:rPr>
          <w:spacing w:val="-6"/>
        </w:rPr>
        <w:t> </w:t>
      </w:r>
      <w:r>
        <w:rPr/>
        <w:t>maximum</w:t>
      </w:r>
      <w:r>
        <w:rPr>
          <w:spacing w:val="-8"/>
        </w:rPr>
        <w:t> </w:t>
      </w:r>
      <w:r>
        <w:rPr/>
        <w:t>force represents</w:t>
      </w:r>
      <w:r>
        <w:rPr>
          <w:spacing w:val="-6"/>
        </w:rPr>
        <w:t> </w:t>
      </w:r>
      <w:r>
        <w:rPr/>
        <w:t>the</w:t>
      </w:r>
      <w:r>
        <w:rPr>
          <w:spacing w:val="-4"/>
        </w:rPr>
        <w:t> </w:t>
      </w:r>
      <w:r>
        <w:rPr/>
        <w:t>hardness</w:t>
      </w:r>
      <w:r>
        <w:rPr>
          <w:spacing w:val="-4"/>
        </w:rPr>
        <w:t> </w:t>
      </w:r>
      <w:r>
        <w:rPr/>
        <w:t>of</w:t>
      </w:r>
      <w:r>
        <w:rPr>
          <w:spacing w:val="-5"/>
        </w:rPr>
        <w:t> </w:t>
      </w:r>
      <w:r>
        <w:rPr/>
        <w:t>the</w:t>
      </w:r>
      <w:r>
        <w:rPr>
          <w:spacing w:val="-4"/>
        </w:rPr>
        <w:t> </w:t>
      </w:r>
      <w:r>
        <w:rPr/>
        <w:t>hydrogel</w:t>
      </w:r>
      <w:r>
        <w:rPr>
          <w:spacing w:val="-4"/>
        </w:rPr>
        <w:t> </w:t>
      </w:r>
      <w:r>
        <w:rPr/>
        <w:t>formulation,</w:t>
      </w:r>
      <w:r>
        <w:rPr>
          <w:spacing w:val="-4"/>
        </w:rPr>
        <w:t> </w:t>
      </w:r>
      <w:r>
        <w:rPr/>
        <w:t>while</w:t>
      </w:r>
      <w:r>
        <w:rPr>
          <w:spacing w:val="-4"/>
        </w:rPr>
        <w:t> </w:t>
      </w:r>
      <w:r>
        <w:rPr/>
        <w:t>cohesivity</w:t>
      </w:r>
      <w:r>
        <w:rPr>
          <w:spacing w:val="-4"/>
        </w:rPr>
        <w:t> </w:t>
      </w:r>
      <w:r>
        <w:rPr/>
        <w:t>is</w:t>
      </w:r>
      <w:r>
        <w:rPr>
          <w:spacing w:val="-4"/>
        </w:rPr>
        <w:t> </w:t>
      </w:r>
      <w:r>
        <w:rPr/>
        <w:t>defined</w:t>
      </w:r>
      <w:r>
        <w:rPr>
          <w:spacing w:val="-5"/>
        </w:rPr>
        <w:t> </w:t>
      </w:r>
      <w:r>
        <w:rPr/>
        <w:t>as</w:t>
      </w:r>
      <w:r>
        <w:rPr>
          <w:spacing w:val="-4"/>
        </w:rPr>
        <w:t> </w:t>
      </w:r>
      <w:r>
        <w:rPr/>
        <w:t>the</w:t>
      </w:r>
      <w:r>
        <w:rPr>
          <w:spacing w:val="-5"/>
        </w:rPr>
        <w:t> </w:t>
      </w:r>
      <w:r>
        <w:rPr/>
        <w:t>work</w:t>
      </w:r>
      <w:r>
        <w:rPr>
          <w:spacing w:val="-4"/>
        </w:rPr>
        <w:t> </w:t>
      </w:r>
      <w:r>
        <w:rPr/>
        <w:t>required to deform the hydrogel in the down movement of the</w:t>
      </w:r>
      <w:r>
        <w:rPr>
          <w:spacing w:val="-5"/>
        </w:rPr>
        <w:t> </w:t>
      </w:r>
      <w:r>
        <w:rPr/>
        <w:t>probe.</w:t>
      </w:r>
    </w:p>
    <w:p>
      <w:pPr>
        <w:spacing w:after="0" w:line="480" w:lineRule="auto"/>
        <w:jc w:val="both"/>
        <w:sectPr>
          <w:pgSz w:w="11910" w:h="16840"/>
          <w:pgMar w:header="0" w:footer="367" w:top="1320" w:bottom="560" w:left="20" w:right="1020"/>
        </w:sectPr>
      </w:pPr>
    </w:p>
    <w:p>
      <w:pPr>
        <w:pStyle w:val="BodyText"/>
        <w:spacing w:line="480" w:lineRule="auto" w:before="75"/>
        <w:ind w:left="1113" w:right="111" w:firstLine="60"/>
        <w:jc w:val="both"/>
      </w:pPr>
      <w:r>
        <w:rPr/>
        <w:drawing>
          <wp:anchor distT="0" distB="0" distL="0" distR="0" allowOverlap="1" layoutInCell="1" locked="0" behindDoc="0" simplePos="0" relativeHeight="15733248">
            <wp:simplePos x="0" y="0"/>
            <wp:positionH relativeFrom="page">
              <wp:posOffset>12700</wp:posOffset>
            </wp:positionH>
            <wp:positionV relativeFrom="paragraph">
              <wp:posOffset>1378497</wp:posOffset>
            </wp:positionV>
            <wp:extent cx="876172" cy="6234938"/>
            <wp:effectExtent l="0" t="0" r="0" b="0"/>
            <wp:wrapNone/>
            <wp:docPr id="17" name="image1.png"/>
            <wp:cNvGraphicFramePr>
              <a:graphicFrameLocks noChangeAspect="1"/>
            </wp:cNvGraphicFramePr>
            <a:graphic>
              <a:graphicData uri="http://schemas.openxmlformats.org/drawingml/2006/picture">
                <pic:pic>
                  <pic:nvPicPr>
                    <pic:cNvPr id="18" name="image1.png"/>
                    <pic:cNvPicPr/>
                  </pic:nvPicPr>
                  <pic:blipFill>
                    <a:blip r:embed="rId6" cstate="print"/>
                    <a:stretch>
                      <a:fillRect/>
                    </a:stretch>
                  </pic:blipFill>
                  <pic:spPr>
                    <a:xfrm>
                      <a:off x="0" y="0"/>
                      <a:ext cx="876172" cy="6234938"/>
                    </a:xfrm>
                    <a:prstGeom prst="rect">
                      <a:avLst/>
                    </a:prstGeom>
                  </pic:spPr>
                </pic:pic>
              </a:graphicData>
            </a:graphic>
          </wp:anchor>
        </w:drawing>
      </w:r>
      <w:r>
        <w:rPr/>
        <w:t>Oscillation tests included variable amplitude and variable frequency tests were performed. In particular, Amplitude strain sweep test at a frequency of 1 Hz and amplitude strain 0.01-2000% was assayed to determine the plasticity, also defined critical strain, and the linear viscoelastic region (LVER).</w:t>
      </w:r>
      <w:r>
        <w:rPr>
          <w:spacing w:val="-6"/>
        </w:rPr>
        <w:t> </w:t>
      </w:r>
      <w:r>
        <w:rPr/>
        <w:t>Subsequent</w:t>
      </w:r>
      <w:r>
        <w:rPr>
          <w:spacing w:val="-6"/>
        </w:rPr>
        <w:t> </w:t>
      </w:r>
      <w:r>
        <w:rPr/>
        <w:t>frequency</w:t>
      </w:r>
      <w:r>
        <w:rPr>
          <w:spacing w:val="-5"/>
        </w:rPr>
        <w:t> </w:t>
      </w:r>
      <w:r>
        <w:rPr/>
        <w:t>sweep</w:t>
      </w:r>
      <w:r>
        <w:rPr>
          <w:spacing w:val="-6"/>
        </w:rPr>
        <w:t> </w:t>
      </w:r>
      <w:r>
        <w:rPr/>
        <w:t>test</w:t>
      </w:r>
      <w:r>
        <w:rPr>
          <w:spacing w:val="-5"/>
        </w:rPr>
        <w:t> </w:t>
      </w:r>
      <w:r>
        <w:rPr/>
        <w:t>was</w:t>
      </w:r>
      <w:r>
        <w:rPr>
          <w:spacing w:val="-6"/>
        </w:rPr>
        <w:t> </w:t>
      </w:r>
      <w:r>
        <w:rPr/>
        <w:t>performed</w:t>
      </w:r>
      <w:r>
        <w:rPr>
          <w:spacing w:val="-5"/>
        </w:rPr>
        <w:t> </w:t>
      </w:r>
      <w:r>
        <w:rPr/>
        <w:t>at</w:t>
      </w:r>
      <w:r>
        <w:rPr>
          <w:spacing w:val="-4"/>
        </w:rPr>
        <w:t> </w:t>
      </w:r>
      <w:r>
        <w:rPr/>
        <w:t>a</w:t>
      </w:r>
      <w:r>
        <w:rPr>
          <w:spacing w:val="-5"/>
        </w:rPr>
        <w:t> </w:t>
      </w:r>
      <w:r>
        <w:rPr/>
        <w:t>constant</w:t>
      </w:r>
      <w:r>
        <w:rPr>
          <w:spacing w:val="-6"/>
        </w:rPr>
        <w:t> </w:t>
      </w:r>
      <w:r>
        <w:rPr/>
        <w:t>strain</w:t>
      </w:r>
      <w:r>
        <w:rPr>
          <w:spacing w:val="-5"/>
        </w:rPr>
        <w:t> </w:t>
      </w:r>
      <w:r>
        <w:rPr/>
        <w:t>within</w:t>
      </w:r>
      <w:r>
        <w:rPr>
          <w:spacing w:val="-6"/>
        </w:rPr>
        <w:t> </w:t>
      </w:r>
      <w:r>
        <w:rPr/>
        <w:t>the</w:t>
      </w:r>
      <w:r>
        <w:rPr>
          <w:spacing w:val="-5"/>
        </w:rPr>
        <w:t> </w:t>
      </w:r>
      <w:r>
        <w:rPr/>
        <w:t>LVER</w:t>
      </w:r>
      <w:r>
        <w:rPr>
          <w:spacing w:val="-7"/>
        </w:rPr>
        <w:t> </w:t>
      </w:r>
      <w:r>
        <w:rPr/>
        <w:t>(1%) and frequency</w:t>
      </w:r>
      <w:r>
        <w:rPr>
          <w:spacing w:val="-1"/>
        </w:rPr>
        <w:t> </w:t>
      </w:r>
      <w:r>
        <w:rPr/>
        <w:t>0.1-10Hz.</w:t>
      </w:r>
    </w:p>
    <w:p>
      <w:pPr>
        <w:pStyle w:val="BodyText"/>
        <w:ind w:left="1113"/>
        <w:jc w:val="both"/>
      </w:pPr>
      <w:r>
        <w:rPr/>
        <w:t>Histological studies</w:t>
      </w:r>
    </w:p>
    <w:p>
      <w:pPr>
        <w:pStyle w:val="BodyText"/>
      </w:pPr>
    </w:p>
    <w:p>
      <w:pPr>
        <w:pStyle w:val="BodyText"/>
        <w:spacing w:line="480" w:lineRule="auto" w:before="1"/>
        <w:ind w:left="1114" w:right="113"/>
        <w:jc w:val="both"/>
      </w:pPr>
      <w:r>
        <w:rPr/>
        <w:t>The goal of this study was also to evaluate the bio-integration of the HA dermal filler in the soft tissue.</w:t>
      </w:r>
    </w:p>
    <w:p>
      <w:pPr>
        <w:pStyle w:val="BodyText"/>
        <w:spacing w:line="480" w:lineRule="auto"/>
        <w:ind w:left="1114" w:right="111"/>
        <w:jc w:val="both"/>
      </w:pPr>
      <w:r>
        <w:rPr/>
        <w:t>Five volunteers received an injection of 1 ml of PEG-crosslinked, HA dermal filler (28 mg/mL) into the hypodermis and 8 month later skin biopsies were carried out. The five volunteers for the histological</w:t>
      </w:r>
      <w:r>
        <w:rPr>
          <w:spacing w:val="-10"/>
        </w:rPr>
        <w:t> </w:t>
      </w:r>
      <w:r>
        <w:rPr/>
        <w:t>analysis</w:t>
      </w:r>
      <w:r>
        <w:rPr>
          <w:spacing w:val="-8"/>
        </w:rPr>
        <w:t> </w:t>
      </w:r>
      <w:r>
        <w:rPr/>
        <w:t>were</w:t>
      </w:r>
      <w:r>
        <w:rPr>
          <w:spacing w:val="-8"/>
        </w:rPr>
        <w:t> </w:t>
      </w:r>
      <w:r>
        <w:rPr/>
        <w:t>chosen</w:t>
      </w:r>
      <w:r>
        <w:rPr>
          <w:spacing w:val="-9"/>
        </w:rPr>
        <w:t> </w:t>
      </w:r>
      <w:r>
        <w:rPr/>
        <w:t>among</w:t>
      </w:r>
      <w:r>
        <w:rPr>
          <w:spacing w:val="-9"/>
        </w:rPr>
        <w:t> </w:t>
      </w:r>
      <w:r>
        <w:rPr/>
        <w:t>around</w:t>
      </w:r>
      <w:r>
        <w:rPr>
          <w:spacing w:val="-9"/>
        </w:rPr>
        <w:t> </w:t>
      </w:r>
      <w:r>
        <w:rPr/>
        <w:t>500</w:t>
      </w:r>
      <w:r>
        <w:rPr>
          <w:spacing w:val="-9"/>
        </w:rPr>
        <w:t> </w:t>
      </w:r>
      <w:r>
        <w:rPr/>
        <w:t>patients,</w:t>
      </w:r>
      <w:r>
        <w:rPr>
          <w:spacing w:val="-10"/>
        </w:rPr>
        <w:t> </w:t>
      </w:r>
      <w:r>
        <w:rPr/>
        <w:t>who</w:t>
      </w:r>
      <w:r>
        <w:rPr>
          <w:spacing w:val="-9"/>
        </w:rPr>
        <w:t> </w:t>
      </w:r>
      <w:r>
        <w:rPr/>
        <w:t>were</w:t>
      </w:r>
      <w:r>
        <w:rPr>
          <w:spacing w:val="-8"/>
        </w:rPr>
        <w:t> </w:t>
      </w:r>
      <w:r>
        <w:rPr/>
        <w:t>treated</w:t>
      </w:r>
      <w:r>
        <w:rPr>
          <w:spacing w:val="-9"/>
        </w:rPr>
        <w:t> </w:t>
      </w:r>
      <w:r>
        <w:rPr/>
        <w:t>at</w:t>
      </w:r>
      <w:r>
        <w:rPr>
          <w:spacing w:val="-8"/>
        </w:rPr>
        <w:t> </w:t>
      </w:r>
      <w:r>
        <w:rPr/>
        <w:t>the</w:t>
      </w:r>
      <w:r>
        <w:rPr>
          <w:spacing w:val="-10"/>
        </w:rPr>
        <w:t> </w:t>
      </w:r>
      <w:r>
        <w:rPr/>
        <w:t>Centro</w:t>
      </w:r>
      <w:r>
        <w:rPr>
          <w:spacing w:val="-9"/>
        </w:rPr>
        <w:t> </w:t>
      </w:r>
      <w:r>
        <w:rPr/>
        <w:t>Medico Polispecialistico in Pavia between August and December 2017. Volunteers needed a surgery approximately in the area of the HA implant a few months after injection as needed to obtain histological</w:t>
      </w:r>
      <w:r>
        <w:rPr>
          <w:spacing w:val="-2"/>
        </w:rPr>
        <w:t> </w:t>
      </w:r>
      <w:r>
        <w:rPr/>
        <w:t>samples.</w:t>
      </w:r>
    </w:p>
    <w:p>
      <w:pPr>
        <w:pStyle w:val="BodyText"/>
        <w:spacing w:line="480" w:lineRule="auto"/>
        <w:ind w:left="1114" w:right="111"/>
        <w:jc w:val="both"/>
      </w:pPr>
      <w:r>
        <w:rPr/>
        <w:t>The bioptical samples were fixed in a 4% formaldehyde solution for 24h and then dehydrated, embedded in paraffin and sectioned in 7 μm sections.</w:t>
      </w:r>
    </w:p>
    <w:p>
      <w:pPr>
        <w:pStyle w:val="BodyText"/>
        <w:spacing w:line="480" w:lineRule="auto"/>
        <w:ind w:left="1114" w:right="113"/>
        <w:jc w:val="both"/>
      </w:pPr>
      <w:r>
        <w:rPr/>
        <w:t>Sections were stained either with Hematoxylin and Eosin or with a 1% Alcian blue solution in 3% acetic acid for 30 minutes. Every section was than observed with a Carl Zeiss Axioplan microscope equipped with a High Definition ccd 5-megapixel camera Nikon-Fi2 for recording images.</w:t>
      </w:r>
    </w:p>
    <w:p>
      <w:pPr>
        <w:pStyle w:val="BodyText"/>
        <w:spacing w:line="480" w:lineRule="auto"/>
        <w:ind w:left="1113" w:right="113"/>
        <w:jc w:val="both"/>
      </w:pPr>
      <w:r>
        <w:rPr/>
        <w:t>The</w:t>
      </w:r>
      <w:r>
        <w:rPr>
          <w:spacing w:val="-11"/>
        </w:rPr>
        <w:t> </w:t>
      </w:r>
      <w:r>
        <w:rPr/>
        <w:t>latter</w:t>
      </w:r>
      <w:r>
        <w:rPr>
          <w:spacing w:val="-10"/>
        </w:rPr>
        <w:t> </w:t>
      </w:r>
      <w:r>
        <w:rPr/>
        <w:t>study</w:t>
      </w:r>
      <w:r>
        <w:rPr>
          <w:spacing w:val="-11"/>
        </w:rPr>
        <w:t> </w:t>
      </w:r>
      <w:r>
        <w:rPr/>
        <w:t>was</w:t>
      </w:r>
      <w:r>
        <w:rPr>
          <w:spacing w:val="-11"/>
        </w:rPr>
        <w:t> </w:t>
      </w:r>
      <w:r>
        <w:rPr/>
        <w:t>conducted</w:t>
      </w:r>
      <w:r>
        <w:rPr>
          <w:spacing w:val="-12"/>
        </w:rPr>
        <w:t> </w:t>
      </w:r>
      <w:r>
        <w:rPr/>
        <w:t>in</w:t>
      </w:r>
      <w:r>
        <w:rPr>
          <w:spacing w:val="-12"/>
        </w:rPr>
        <w:t> </w:t>
      </w:r>
      <w:r>
        <w:rPr/>
        <w:t>accordance</w:t>
      </w:r>
      <w:r>
        <w:rPr>
          <w:spacing w:val="-11"/>
        </w:rPr>
        <w:t> </w:t>
      </w:r>
      <w:r>
        <w:rPr/>
        <w:t>with</w:t>
      </w:r>
      <w:r>
        <w:rPr>
          <w:spacing w:val="-11"/>
        </w:rPr>
        <w:t> </w:t>
      </w:r>
      <w:r>
        <w:rPr/>
        <w:t>International</w:t>
      </w:r>
      <w:r>
        <w:rPr>
          <w:spacing w:val="-10"/>
        </w:rPr>
        <w:t> </w:t>
      </w:r>
      <w:r>
        <w:rPr/>
        <w:t>Standards</w:t>
      </w:r>
      <w:r>
        <w:rPr>
          <w:spacing w:val="-13"/>
        </w:rPr>
        <w:t> </w:t>
      </w:r>
      <w:r>
        <w:rPr/>
        <w:t>Organization</w:t>
      </w:r>
      <w:r>
        <w:rPr>
          <w:spacing w:val="-12"/>
        </w:rPr>
        <w:t> </w:t>
      </w:r>
      <w:r>
        <w:rPr/>
        <w:t>14155:2011: Clinical investigation of medical devices for human subject- Good clinical practice (GCP), the principles of the 1964 Helsinki Declaration and its later amendments, and the applicable sections</w:t>
      </w:r>
      <w:r>
        <w:rPr>
          <w:spacing w:val="50"/>
        </w:rPr>
        <w:t> </w:t>
      </w:r>
      <w:r>
        <w:rPr/>
        <w:t>of</w:t>
      </w:r>
    </w:p>
    <w:p>
      <w:pPr>
        <w:spacing w:after="0" w:line="480" w:lineRule="auto"/>
        <w:jc w:val="both"/>
        <w:sectPr>
          <w:pgSz w:w="11910" w:h="16840"/>
          <w:pgMar w:header="0" w:footer="367" w:top="1320" w:bottom="560" w:left="20" w:right="1020"/>
        </w:sectPr>
      </w:pPr>
    </w:p>
    <w:p>
      <w:pPr>
        <w:pStyle w:val="BodyText"/>
        <w:spacing w:line="480" w:lineRule="auto" w:before="75"/>
        <w:ind w:left="1113" w:right="112"/>
        <w:jc w:val="both"/>
      </w:pPr>
      <w:r>
        <w:rPr/>
        <w:t>the national medical device law. Informed consent was obtained from all individual participants included in the study.”</w:t>
      </w:r>
    </w:p>
    <w:p>
      <w:pPr>
        <w:pStyle w:val="BodyText"/>
        <w:rPr>
          <w:sz w:val="26"/>
        </w:rPr>
      </w:pPr>
    </w:p>
    <w:p>
      <w:pPr>
        <w:pStyle w:val="BodyText"/>
        <w:rPr>
          <w:sz w:val="26"/>
        </w:rPr>
      </w:pPr>
    </w:p>
    <w:p>
      <w:pPr>
        <w:pStyle w:val="BodyText"/>
        <w:rPr>
          <w:sz w:val="26"/>
        </w:rPr>
      </w:pPr>
    </w:p>
    <w:p>
      <w:pPr>
        <w:pStyle w:val="Heading1"/>
        <w:spacing w:before="210"/>
        <w:ind w:left="1113"/>
      </w:pPr>
      <w:r>
        <w:rPr/>
        <w:drawing>
          <wp:anchor distT="0" distB="0" distL="0" distR="0" allowOverlap="1" layoutInCell="1" locked="0" behindDoc="0" simplePos="0" relativeHeight="15733760">
            <wp:simplePos x="0" y="0"/>
            <wp:positionH relativeFrom="page">
              <wp:posOffset>12700</wp:posOffset>
            </wp:positionH>
            <wp:positionV relativeFrom="paragraph">
              <wp:posOffset>60618</wp:posOffset>
            </wp:positionV>
            <wp:extent cx="876172" cy="6234938"/>
            <wp:effectExtent l="0" t="0" r="0" b="0"/>
            <wp:wrapNone/>
            <wp:docPr id="19" name="image1.png"/>
            <wp:cNvGraphicFramePr>
              <a:graphicFrameLocks noChangeAspect="1"/>
            </wp:cNvGraphicFramePr>
            <a:graphic>
              <a:graphicData uri="http://schemas.openxmlformats.org/drawingml/2006/picture">
                <pic:pic>
                  <pic:nvPicPr>
                    <pic:cNvPr id="20" name="image1.png"/>
                    <pic:cNvPicPr/>
                  </pic:nvPicPr>
                  <pic:blipFill>
                    <a:blip r:embed="rId6" cstate="print"/>
                    <a:stretch>
                      <a:fillRect/>
                    </a:stretch>
                  </pic:blipFill>
                  <pic:spPr>
                    <a:xfrm>
                      <a:off x="0" y="0"/>
                      <a:ext cx="876172" cy="6234938"/>
                    </a:xfrm>
                    <a:prstGeom prst="rect">
                      <a:avLst/>
                    </a:prstGeom>
                  </pic:spPr>
                </pic:pic>
              </a:graphicData>
            </a:graphic>
          </wp:anchor>
        </w:drawing>
      </w:r>
      <w:r>
        <w:rPr/>
        <w:t>RESULTS</w:t>
      </w:r>
    </w:p>
    <w:p>
      <w:pPr>
        <w:pStyle w:val="BodyText"/>
        <w:spacing w:before="9"/>
        <w:rPr>
          <w:b/>
          <w:sz w:val="23"/>
        </w:rPr>
      </w:pPr>
    </w:p>
    <w:p>
      <w:pPr>
        <w:pStyle w:val="BodyText"/>
        <w:spacing w:line="480" w:lineRule="auto"/>
        <w:ind w:left="1113" w:right="113"/>
        <w:jc w:val="both"/>
      </w:pPr>
      <w:r>
        <w:rPr/>
        <w:t>The results of the chemical analyses will be presented first, followed by the characterization of the viscoelastic properties; histological evidences will be subsequently introduced.</w:t>
      </w:r>
    </w:p>
    <w:p>
      <w:pPr>
        <w:pStyle w:val="BodyText"/>
        <w:spacing w:line="480" w:lineRule="auto"/>
        <w:ind w:left="1113" w:right="112"/>
        <w:jc w:val="both"/>
      </w:pPr>
      <w:r>
        <w:rPr/>
        <w:t>Chemical analyses aimed at assessing the presence of intact hyaluronic acid in the hydrogel, i.e. that the crosslinking and sterilization phases had no effect on the HA structure, and the absence of detectable amounts of residual PEGDE, which could pose potential risks for human health.</w:t>
      </w:r>
    </w:p>
    <w:p>
      <w:pPr>
        <w:pStyle w:val="BodyText"/>
        <w:spacing w:line="480" w:lineRule="auto"/>
        <w:ind w:left="1113" w:right="112"/>
        <w:jc w:val="both"/>
      </w:pPr>
      <w:r>
        <w:rPr/>
        <w:t>Figure 1 depicts the CP/MAS NMR spectra of pure hyaluronic acid (blue) and the dried hydrogel (black, lot HA2161101). The spectra clearly show that the signals of hyaluronic acid are retained in the spectrum of the hydrogel sample with the small differences due to the presence of PEG.</w:t>
      </w:r>
    </w:p>
    <w:p>
      <w:pPr>
        <w:pStyle w:val="BodyText"/>
        <w:rPr>
          <w:sz w:val="26"/>
        </w:rPr>
      </w:pPr>
    </w:p>
    <w:p>
      <w:pPr>
        <w:pStyle w:val="BodyText"/>
        <w:spacing w:before="10"/>
        <w:rPr>
          <w:sz w:val="21"/>
        </w:rPr>
      </w:pPr>
    </w:p>
    <w:p>
      <w:pPr>
        <w:pStyle w:val="BodyText"/>
        <w:spacing w:line="480" w:lineRule="auto" w:before="1"/>
        <w:ind w:left="1113" w:right="114"/>
        <w:jc w:val="both"/>
      </w:pPr>
      <w:r>
        <w:rPr/>
        <w:t>The concentration of sodium hyaluronate was quantified by the modified carbazole reaction (see Materials and Methods).</w:t>
      </w:r>
    </w:p>
    <w:p>
      <w:pPr>
        <w:pStyle w:val="BodyText"/>
        <w:spacing w:line="480" w:lineRule="auto"/>
        <w:ind w:left="1113" w:right="111"/>
        <w:jc w:val="both"/>
      </w:pPr>
      <w:r>
        <w:rPr/>
        <w:t>The</w:t>
      </w:r>
      <w:r>
        <w:rPr>
          <w:spacing w:val="-14"/>
        </w:rPr>
        <w:t> </w:t>
      </w:r>
      <w:r>
        <w:rPr/>
        <w:t>percentage</w:t>
      </w:r>
      <w:r>
        <w:rPr>
          <w:spacing w:val="-14"/>
        </w:rPr>
        <w:t> </w:t>
      </w:r>
      <w:r>
        <w:rPr/>
        <w:t>of</w:t>
      </w:r>
      <w:r>
        <w:rPr>
          <w:spacing w:val="-15"/>
        </w:rPr>
        <w:t> </w:t>
      </w:r>
      <w:r>
        <w:rPr/>
        <w:t>crosslinked</w:t>
      </w:r>
      <w:r>
        <w:rPr>
          <w:spacing w:val="-15"/>
        </w:rPr>
        <w:t> </w:t>
      </w:r>
      <w:r>
        <w:rPr/>
        <w:t>sodium</w:t>
      </w:r>
      <w:r>
        <w:rPr>
          <w:spacing w:val="-17"/>
        </w:rPr>
        <w:t> </w:t>
      </w:r>
      <w:r>
        <w:rPr/>
        <w:t>hyaluronate</w:t>
      </w:r>
      <w:r>
        <w:rPr>
          <w:spacing w:val="-14"/>
        </w:rPr>
        <w:t> </w:t>
      </w:r>
      <w:r>
        <w:rPr/>
        <w:t>in</w:t>
      </w:r>
      <w:r>
        <w:rPr>
          <w:spacing w:val="-15"/>
        </w:rPr>
        <w:t> </w:t>
      </w:r>
      <w:r>
        <w:rPr/>
        <w:t>the</w:t>
      </w:r>
      <w:r>
        <w:rPr>
          <w:spacing w:val="-14"/>
        </w:rPr>
        <w:t> </w:t>
      </w:r>
      <w:r>
        <w:rPr/>
        <w:t>28</w:t>
      </w:r>
      <w:r>
        <w:rPr>
          <w:spacing w:val="-16"/>
        </w:rPr>
        <w:t> </w:t>
      </w:r>
      <w:r>
        <w:rPr/>
        <w:t>mg</w:t>
      </w:r>
      <w:r>
        <w:rPr>
          <w:spacing w:val="-15"/>
        </w:rPr>
        <w:t> </w:t>
      </w:r>
      <w:r>
        <w:rPr/>
        <w:t>/</w:t>
      </w:r>
      <w:r>
        <w:rPr>
          <w:spacing w:val="-14"/>
        </w:rPr>
        <w:t> </w:t>
      </w:r>
      <w:r>
        <w:rPr/>
        <w:t>ml</w:t>
      </w:r>
      <w:r>
        <w:rPr>
          <w:spacing w:val="-14"/>
        </w:rPr>
        <w:t> </w:t>
      </w:r>
      <w:r>
        <w:rPr/>
        <w:t>hydrogel</w:t>
      </w:r>
      <w:r>
        <w:rPr>
          <w:spacing w:val="-14"/>
        </w:rPr>
        <w:t> </w:t>
      </w:r>
      <w:r>
        <w:rPr/>
        <w:t>(lot</w:t>
      </w:r>
      <w:r>
        <w:rPr>
          <w:spacing w:val="-13"/>
        </w:rPr>
        <w:t> </w:t>
      </w:r>
      <w:r>
        <w:rPr/>
        <w:t>HA2161101,</w:t>
      </w:r>
      <w:r>
        <w:rPr>
          <w:spacing w:val="-15"/>
        </w:rPr>
        <w:t> </w:t>
      </w:r>
      <w:r>
        <w:rPr/>
        <w:t>Matex Lab S.p.a.) calculated according to the internal method is reported in Table</w:t>
      </w:r>
      <w:r>
        <w:rPr>
          <w:spacing w:val="-9"/>
        </w:rPr>
        <w:t> </w:t>
      </w:r>
      <w:r>
        <w:rPr/>
        <w:t>1.</w:t>
      </w:r>
    </w:p>
    <w:p>
      <w:pPr>
        <w:pStyle w:val="BodyText"/>
        <w:rPr>
          <w:sz w:val="26"/>
        </w:rPr>
      </w:pPr>
    </w:p>
    <w:p>
      <w:pPr>
        <w:pStyle w:val="BodyText"/>
        <w:spacing w:before="11"/>
        <w:rPr>
          <w:sz w:val="21"/>
        </w:rPr>
      </w:pPr>
    </w:p>
    <w:p>
      <w:pPr>
        <w:pStyle w:val="BodyText"/>
        <w:spacing w:line="480" w:lineRule="auto"/>
        <w:ind w:left="1113" w:right="114"/>
        <w:jc w:val="both"/>
      </w:pPr>
      <w:r>
        <w:rPr>
          <w:position w:val="1"/>
        </w:rPr>
        <w:t>The obtained result (2.7</w:t>
      </w:r>
      <w:r>
        <w:rPr>
          <w:sz w:val="16"/>
        </w:rPr>
        <w:t>7</w:t>
      </w:r>
      <w:r>
        <w:rPr>
          <w:position w:val="1"/>
        </w:rPr>
        <w:t>±0.29%) is not statistically different from the expected one based on the </w:t>
      </w:r>
      <w:r>
        <w:rPr/>
        <w:t>product formulation, i.e. 2.8wt%.</w:t>
      </w:r>
    </w:p>
    <w:p>
      <w:pPr>
        <w:spacing w:after="0" w:line="480" w:lineRule="auto"/>
        <w:jc w:val="both"/>
        <w:sectPr>
          <w:pgSz w:w="11910" w:h="16840"/>
          <w:pgMar w:header="0" w:footer="367" w:top="1320" w:bottom="560" w:left="20" w:right="1020"/>
        </w:sectPr>
      </w:pPr>
    </w:p>
    <w:p>
      <w:pPr>
        <w:pStyle w:val="BodyText"/>
        <w:spacing w:line="480" w:lineRule="auto" w:before="75"/>
        <w:ind w:left="1113" w:right="113"/>
        <w:jc w:val="both"/>
      </w:pPr>
      <w:r>
        <w:rPr/>
        <w:drawing>
          <wp:anchor distT="0" distB="0" distL="0" distR="0" allowOverlap="1" layoutInCell="1" locked="0" behindDoc="0" simplePos="0" relativeHeight="15734272">
            <wp:simplePos x="0" y="0"/>
            <wp:positionH relativeFrom="page">
              <wp:posOffset>12700</wp:posOffset>
            </wp:positionH>
            <wp:positionV relativeFrom="paragraph">
              <wp:posOffset>1378497</wp:posOffset>
            </wp:positionV>
            <wp:extent cx="876172" cy="6234938"/>
            <wp:effectExtent l="0" t="0" r="0" b="0"/>
            <wp:wrapNone/>
            <wp:docPr id="21" name="image1.png"/>
            <wp:cNvGraphicFramePr>
              <a:graphicFrameLocks noChangeAspect="1"/>
            </wp:cNvGraphicFramePr>
            <a:graphic>
              <a:graphicData uri="http://schemas.openxmlformats.org/drawingml/2006/picture">
                <pic:pic>
                  <pic:nvPicPr>
                    <pic:cNvPr id="22" name="image1.png"/>
                    <pic:cNvPicPr/>
                  </pic:nvPicPr>
                  <pic:blipFill>
                    <a:blip r:embed="rId6" cstate="print"/>
                    <a:stretch>
                      <a:fillRect/>
                    </a:stretch>
                  </pic:blipFill>
                  <pic:spPr>
                    <a:xfrm>
                      <a:off x="0" y="0"/>
                      <a:ext cx="876172" cy="6234938"/>
                    </a:xfrm>
                    <a:prstGeom prst="rect">
                      <a:avLst/>
                    </a:prstGeom>
                  </pic:spPr>
                </pic:pic>
              </a:graphicData>
            </a:graphic>
          </wp:anchor>
        </w:drawing>
      </w:r>
      <w:r>
        <w:rPr/>
        <w:t>Finally, the absence of residual PEGDE in the hydrogel was assessed by high resolution mass spectrometry on a sample of the hydrogel. As a result, no mass peak due to the epoxy rings could be found:</w:t>
      </w:r>
      <w:r>
        <w:rPr>
          <w:spacing w:val="-3"/>
        </w:rPr>
        <w:t> </w:t>
      </w:r>
      <w:r>
        <w:rPr/>
        <w:t>although</w:t>
      </w:r>
      <w:r>
        <w:rPr>
          <w:spacing w:val="-4"/>
        </w:rPr>
        <w:t> </w:t>
      </w:r>
      <w:r>
        <w:rPr/>
        <w:t>the</w:t>
      </w:r>
      <w:r>
        <w:rPr>
          <w:spacing w:val="-4"/>
        </w:rPr>
        <w:t> </w:t>
      </w:r>
      <w:r>
        <w:rPr/>
        <w:t>quantification</w:t>
      </w:r>
      <w:r>
        <w:rPr>
          <w:spacing w:val="-4"/>
        </w:rPr>
        <w:t> </w:t>
      </w:r>
      <w:r>
        <w:rPr/>
        <w:t>of</w:t>
      </w:r>
      <w:r>
        <w:rPr>
          <w:spacing w:val="-4"/>
        </w:rPr>
        <w:t> </w:t>
      </w:r>
      <w:r>
        <w:rPr/>
        <w:t>the</w:t>
      </w:r>
      <w:r>
        <w:rPr>
          <w:spacing w:val="-4"/>
        </w:rPr>
        <w:t> </w:t>
      </w:r>
      <w:r>
        <w:rPr/>
        <w:t>residual</w:t>
      </w:r>
      <w:r>
        <w:rPr>
          <w:spacing w:val="-3"/>
        </w:rPr>
        <w:t> </w:t>
      </w:r>
      <w:r>
        <w:rPr/>
        <w:t>PEGDE</w:t>
      </w:r>
      <w:r>
        <w:rPr>
          <w:spacing w:val="-3"/>
        </w:rPr>
        <w:t> </w:t>
      </w:r>
      <w:r>
        <w:rPr/>
        <w:t>is</w:t>
      </w:r>
      <w:r>
        <w:rPr>
          <w:spacing w:val="-2"/>
        </w:rPr>
        <w:t> </w:t>
      </w:r>
      <w:r>
        <w:rPr/>
        <w:t>not</w:t>
      </w:r>
      <w:r>
        <w:rPr>
          <w:spacing w:val="-2"/>
        </w:rPr>
        <w:t> </w:t>
      </w:r>
      <w:r>
        <w:rPr/>
        <w:t>possible,</w:t>
      </w:r>
      <w:r>
        <w:rPr>
          <w:spacing w:val="-5"/>
        </w:rPr>
        <w:t> </w:t>
      </w:r>
      <w:r>
        <w:rPr/>
        <w:t>the</w:t>
      </w:r>
      <w:r>
        <w:rPr>
          <w:spacing w:val="-4"/>
        </w:rPr>
        <w:t> </w:t>
      </w:r>
      <w:r>
        <w:rPr/>
        <w:t>very</w:t>
      </w:r>
      <w:r>
        <w:rPr>
          <w:spacing w:val="-4"/>
        </w:rPr>
        <w:t> </w:t>
      </w:r>
      <w:r>
        <w:rPr/>
        <w:t>high</w:t>
      </w:r>
      <w:r>
        <w:rPr>
          <w:spacing w:val="-4"/>
        </w:rPr>
        <w:t> </w:t>
      </w:r>
      <w:r>
        <w:rPr/>
        <w:t>sensitivity</w:t>
      </w:r>
      <w:r>
        <w:rPr>
          <w:spacing w:val="-4"/>
        </w:rPr>
        <w:t> </w:t>
      </w:r>
      <w:r>
        <w:rPr/>
        <w:t>of the analytical instrumentation ensures that the residual PEGDE concentration is lower than a few parts per</w:t>
      </w:r>
      <w:r>
        <w:rPr>
          <w:spacing w:val="-1"/>
        </w:rPr>
        <w:t> </w:t>
      </w:r>
      <w:r>
        <w:rPr/>
        <w:t>billion.</w:t>
      </w:r>
    </w:p>
    <w:p>
      <w:pPr>
        <w:pStyle w:val="BodyText"/>
        <w:spacing w:line="480" w:lineRule="auto"/>
        <w:ind w:left="1113" w:right="111"/>
        <w:jc w:val="both"/>
      </w:pPr>
      <w:r>
        <w:rPr/>
        <w:t>Rheological data obtained by both the frequency sweep test and the shear test are reported in figures 2 and 3 and the data in tables 2 and 3. Cohesivity is reported in figure 4.</w:t>
      </w:r>
    </w:p>
    <w:p>
      <w:pPr>
        <w:pStyle w:val="BodyText"/>
        <w:spacing w:line="480" w:lineRule="auto" w:before="1"/>
        <w:ind w:left="1113" w:right="111"/>
        <w:jc w:val="both"/>
      </w:pPr>
      <w:r>
        <w:rPr/>
        <w:t>As</w:t>
      </w:r>
      <w:r>
        <w:rPr>
          <w:spacing w:val="-5"/>
        </w:rPr>
        <w:t> </w:t>
      </w:r>
      <w:r>
        <w:rPr/>
        <w:t>an</w:t>
      </w:r>
      <w:r>
        <w:rPr>
          <w:spacing w:val="-5"/>
        </w:rPr>
        <w:t> </w:t>
      </w:r>
      <w:r>
        <w:rPr/>
        <w:t>additional</w:t>
      </w:r>
      <w:r>
        <w:rPr>
          <w:spacing w:val="-4"/>
        </w:rPr>
        <w:t> </w:t>
      </w:r>
      <w:r>
        <w:rPr/>
        <w:t>data,</w:t>
      </w:r>
      <w:r>
        <w:rPr>
          <w:spacing w:val="-5"/>
        </w:rPr>
        <w:t> </w:t>
      </w:r>
      <w:r>
        <w:rPr/>
        <w:t>the</w:t>
      </w:r>
      <w:r>
        <w:rPr>
          <w:spacing w:val="-3"/>
        </w:rPr>
        <w:t> </w:t>
      </w:r>
      <w:r>
        <w:rPr/>
        <w:t>mean</w:t>
      </w:r>
      <w:r>
        <w:rPr>
          <w:spacing w:val="-5"/>
        </w:rPr>
        <w:t> </w:t>
      </w:r>
      <w:r>
        <w:rPr/>
        <w:t>viscosity</w:t>
      </w:r>
      <w:r>
        <w:rPr>
          <w:spacing w:val="-5"/>
        </w:rPr>
        <w:t> </w:t>
      </w:r>
      <w:r>
        <w:rPr/>
        <w:t>value</w:t>
      </w:r>
      <w:r>
        <w:rPr>
          <w:spacing w:val="-4"/>
        </w:rPr>
        <w:t> </w:t>
      </w:r>
      <w:r>
        <w:rPr/>
        <w:t>for</w:t>
      </w:r>
      <w:r>
        <w:rPr>
          <w:spacing w:val="-5"/>
        </w:rPr>
        <w:t> </w:t>
      </w:r>
      <w:r>
        <w:rPr/>
        <w:t>a</w:t>
      </w:r>
      <w:r>
        <w:rPr>
          <w:spacing w:val="-4"/>
        </w:rPr>
        <w:t> </w:t>
      </w:r>
      <w:r>
        <w:rPr/>
        <w:t>stress</w:t>
      </w:r>
      <w:r>
        <w:rPr>
          <w:spacing w:val="-5"/>
        </w:rPr>
        <w:t> </w:t>
      </w:r>
      <w:r>
        <w:rPr/>
        <w:t>value</w:t>
      </w:r>
      <w:r>
        <w:rPr>
          <w:spacing w:val="-4"/>
        </w:rPr>
        <w:t> </w:t>
      </w:r>
      <w:r>
        <w:rPr/>
        <w:t>of</w:t>
      </w:r>
      <w:r>
        <w:rPr>
          <w:spacing w:val="-6"/>
        </w:rPr>
        <w:t> </w:t>
      </w:r>
      <w:r>
        <w:rPr/>
        <w:t>1</w:t>
      </w:r>
      <w:r>
        <w:rPr>
          <w:spacing w:val="-5"/>
        </w:rPr>
        <w:t> </w:t>
      </w:r>
      <w:r>
        <w:rPr/>
        <w:t>s</w:t>
      </w:r>
      <w:r>
        <w:rPr>
          <w:vertAlign w:val="superscript"/>
        </w:rPr>
        <w:t>-1</w:t>
      </w:r>
      <w:r>
        <w:rPr>
          <w:spacing w:val="-1"/>
          <w:vertAlign w:val="baseline"/>
        </w:rPr>
        <w:t> </w:t>
      </w:r>
      <w:r>
        <w:rPr>
          <w:vertAlign w:val="baseline"/>
        </w:rPr>
        <w:t>was</w:t>
      </w:r>
      <w:r>
        <w:rPr>
          <w:spacing w:val="-5"/>
          <w:vertAlign w:val="baseline"/>
        </w:rPr>
        <w:t> </w:t>
      </w:r>
      <w:r>
        <w:rPr>
          <w:vertAlign w:val="baseline"/>
        </w:rPr>
        <w:t>253</w:t>
      </w:r>
      <w:r>
        <w:rPr>
          <w:spacing w:val="-4"/>
          <w:vertAlign w:val="baseline"/>
        </w:rPr>
        <w:t> </w:t>
      </w:r>
      <w:r>
        <w:rPr>
          <w:vertAlign w:val="baseline"/>
        </w:rPr>
        <w:t>Pa</w:t>
      </w:r>
      <w:r>
        <w:rPr>
          <w:spacing w:val="-4"/>
          <w:vertAlign w:val="baseline"/>
        </w:rPr>
        <w:t> </w:t>
      </w:r>
      <w:r>
        <w:rPr>
          <w:vertAlign w:val="baseline"/>
        </w:rPr>
        <w:t>s,</w:t>
      </w:r>
      <w:r>
        <w:rPr>
          <w:spacing w:val="-5"/>
          <w:vertAlign w:val="baseline"/>
        </w:rPr>
        <w:t> </w:t>
      </w:r>
      <w:r>
        <w:rPr>
          <w:vertAlign w:val="baseline"/>
        </w:rPr>
        <w:t>with</w:t>
      </w:r>
      <w:r>
        <w:rPr>
          <w:spacing w:val="-4"/>
          <w:vertAlign w:val="baseline"/>
        </w:rPr>
        <w:t> </w:t>
      </w:r>
      <w:r>
        <w:rPr>
          <w:vertAlign w:val="baseline"/>
        </w:rPr>
        <w:t>a</w:t>
      </w:r>
      <w:r>
        <w:rPr>
          <w:spacing w:val="-5"/>
          <w:vertAlign w:val="baseline"/>
        </w:rPr>
        <w:t> </w:t>
      </w:r>
      <w:r>
        <w:rPr>
          <w:vertAlign w:val="baseline"/>
        </w:rPr>
        <w:t>10%</w:t>
      </w:r>
      <w:r>
        <w:rPr>
          <w:spacing w:val="-4"/>
          <w:vertAlign w:val="baseline"/>
        </w:rPr>
        <w:t> </w:t>
      </w:r>
      <w:r>
        <w:rPr>
          <w:vertAlign w:val="baseline"/>
        </w:rPr>
        <w:t>of relative standard deviation. However, plasticity is defined as the critical deformation of a solid-like material</w:t>
      </w:r>
      <w:r>
        <w:rPr>
          <w:spacing w:val="-12"/>
          <w:vertAlign w:val="baseline"/>
        </w:rPr>
        <w:t> </w:t>
      </w:r>
      <w:r>
        <w:rPr>
          <w:vertAlign w:val="baseline"/>
        </w:rPr>
        <w:t>when</w:t>
      </w:r>
      <w:r>
        <w:rPr>
          <w:spacing w:val="-11"/>
          <w:vertAlign w:val="baseline"/>
        </w:rPr>
        <w:t> </w:t>
      </w:r>
      <w:r>
        <w:rPr>
          <w:vertAlign w:val="baseline"/>
        </w:rPr>
        <w:t>is</w:t>
      </w:r>
      <w:r>
        <w:rPr>
          <w:spacing w:val="-11"/>
          <w:vertAlign w:val="baseline"/>
        </w:rPr>
        <w:t> </w:t>
      </w:r>
      <w:r>
        <w:rPr>
          <w:vertAlign w:val="baseline"/>
        </w:rPr>
        <w:t>subjected</w:t>
      </w:r>
      <w:r>
        <w:rPr>
          <w:spacing w:val="-11"/>
          <w:vertAlign w:val="baseline"/>
        </w:rPr>
        <w:t> </w:t>
      </w:r>
      <w:r>
        <w:rPr>
          <w:vertAlign w:val="baseline"/>
        </w:rPr>
        <w:t>to</w:t>
      </w:r>
      <w:r>
        <w:rPr>
          <w:spacing w:val="-11"/>
          <w:vertAlign w:val="baseline"/>
        </w:rPr>
        <w:t> </w:t>
      </w:r>
      <w:r>
        <w:rPr>
          <w:vertAlign w:val="baseline"/>
        </w:rPr>
        <w:t>strain</w:t>
      </w:r>
      <w:r>
        <w:rPr>
          <w:spacing w:val="-11"/>
          <w:vertAlign w:val="baseline"/>
        </w:rPr>
        <w:t> </w:t>
      </w:r>
      <w:r>
        <w:rPr>
          <w:vertAlign w:val="baseline"/>
        </w:rPr>
        <w:t>hardening.</w:t>
      </w:r>
      <w:r>
        <w:rPr>
          <w:spacing w:val="-12"/>
          <w:vertAlign w:val="baseline"/>
        </w:rPr>
        <w:t> </w:t>
      </w:r>
      <w:r>
        <w:rPr>
          <w:vertAlign w:val="baseline"/>
        </w:rPr>
        <w:t>The</w:t>
      </w:r>
      <w:r>
        <w:rPr>
          <w:spacing w:val="-11"/>
          <w:vertAlign w:val="baseline"/>
        </w:rPr>
        <w:t> </w:t>
      </w:r>
      <w:r>
        <w:rPr>
          <w:vertAlign w:val="baseline"/>
        </w:rPr>
        <w:t>increase</w:t>
      </w:r>
      <w:r>
        <w:rPr>
          <w:spacing w:val="-11"/>
          <w:vertAlign w:val="baseline"/>
        </w:rPr>
        <w:t> </w:t>
      </w:r>
      <w:r>
        <w:rPr>
          <w:vertAlign w:val="baseline"/>
        </w:rPr>
        <w:t>of</w:t>
      </w:r>
      <w:r>
        <w:rPr>
          <w:spacing w:val="-12"/>
          <w:vertAlign w:val="baseline"/>
        </w:rPr>
        <w:t> </w:t>
      </w:r>
      <w:r>
        <w:rPr>
          <w:vertAlign w:val="baseline"/>
        </w:rPr>
        <w:t>the</w:t>
      </w:r>
      <w:r>
        <w:rPr>
          <w:spacing w:val="-11"/>
          <w:vertAlign w:val="baseline"/>
        </w:rPr>
        <w:t> </w:t>
      </w:r>
      <w:r>
        <w:rPr>
          <w:vertAlign w:val="baseline"/>
        </w:rPr>
        <w:t>material</w:t>
      </w:r>
      <w:r>
        <w:rPr>
          <w:spacing w:val="-12"/>
          <w:vertAlign w:val="baseline"/>
        </w:rPr>
        <w:t> </w:t>
      </w:r>
      <w:r>
        <w:rPr>
          <w:vertAlign w:val="baseline"/>
        </w:rPr>
        <w:t>plasticity</w:t>
      </w:r>
      <w:r>
        <w:rPr>
          <w:spacing w:val="-11"/>
          <w:vertAlign w:val="baseline"/>
        </w:rPr>
        <w:t> </w:t>
      </w:r>
      <w:r>
        <w:rPr>
          <w:vertAlign w:val="baseline"/>
        </w:rPr>
        <w:t>is</w:t>
      </w:r>
      <w:r>
        <w:rPr>
          <w:spacing w:val="-12"/>
          <w:vertAlign w:val="baseline"/>
        </w:rPr>
        <w:t> </w:t>
      </w:r>
      <w:r>
        <w:rPr>
          <w:vertAlign w:val="baseline"/>
        </w:rPr>
        <w:t>due</w:t>
      </w:r>
      <w:r>
        <w:rPr>
          <w:spacing w:val="-12"/>
          <w:vertAlign w:val="baseline"/>
        </w:rPr>
        <w:t> </w:t>
      </w:r>
      <w:r>
        <w:rPr>
          <w:vertAlign w:val="baseline"/>
        </w:rPr>
        <w:t>to</w:t>
      </w:r>
      <w:r>
        <w:rPr>
          <w:spacing w:val="-11"/>
          <w:vertAlign w:val="baseline"/>
        </w:rPr>
        <w:t> </w:t>
      </w:r>
      <w:r>
        <w:rPr>
          <w:vertAlign w:val="baseline"/>
        </w:rPr>
        <w:t>its</w:t>
      </w:r>
      <w:r>
        <w:rPr>
          <w:spacing w:val="-11"/>
          <w:vertAlign w:val="baseline"/>
        </w:rPr>
        <w:t> </w:t>
      </w:r>
      <w:r>
        <w:rPr>
          <w:vertAlign w:val="baseline"/>
        </w:rPr>
        <w:t>high capability to deform. The plasticity related to hydrogel based on PEG-crosslinked hyaluronic acid with a high concentration of HA (28 mg/ml) Lot. HA2161105 was determined as 1782±3 (mean ± standard deviation, three</w:t>
      </w:r>
      <w:r>
        <w:rPr>
          <w:spacing w:val="-3"/>
          <w:vertAlign w:val="baseline"/>
        </w:rPr>
        <w:t> </w:t>
      </w:r>
      <w:r>
        <w:rPr>
          <w:vertAlign w:val="baseline"/>
        </w:rPr>
        <w:t>replicates).</w:t>
      </w:r>
    </w:p>
    <w:p>
      <w:pPr>
        <w:pStyle w:val="BodyText"/>
        <w:spacing w:line="480" w:lineRule="auto"/>
        <w:ind w:left="1113" w:right="113"/>
        <w:jc w:val="both"/>
      </w:pPr>
      <w:r>
        <w:rPr/>
        <w:t>Rheological data clearly show that the elastic behavior is dominant in the investigated hydrogel and the elastic properties are retained over a large range of applied stress (see the discussion section for an interpretation of these data).</w:t>
      </w:r>
    </w:p>
    <w:p>
      <w:pPr>
        <w:pStyle w:val="BodyText"/>
        <w:spacing w:line="480" w:lineRule="auto"/>
        <w:ind w:left="1113" w:right="111"/>
        <w:jc w:val="both"/>
      </w:pPr>
      <w:r>
        <w:rPr/>
        <w:t>The cohesivity of the hydrogel was also measured on two lots of the 28 mg/ml HA PEG-crosslinked hydrogel. The results were 1.79±0.02 N*s (mean values ± 1 standard deviation, 3 replicate measurements).</w:t>
      </w:r>
    </w:p>
    <w:p>
      <w:pPr>
        <w:pStyle w:val="BodyText"/>
        <w:spacing w:line="480" w:lineRule="auto"/>
        <w:ind w:left="1113" w:right="113"/>
        <w:jc w:val="both"/>
      </w:pPr>
      <w:r>
        <w:rPr/>
        <w:t>Hardness of the hydrogel is defined as a force necessary to achieve maximum compression. The results were 0.69±0.05 N.</w:t>
      </w:r>
    </w:p>
    <w:p>
      <w:pPr>
        <w:spacing w:after="0" w:line="480" w:lineRule="auto"/>
        <w:jc w:val="both"/>
        <w:sectPr>
          <w:pgSz w:w="11910" w:h="16840"/>
          <w:pgMar w:header="0" w:footer="367" w:top="1320" w:bottom="560" w:left="20" w:right="1020"/>
        </w:sectPr>
      </w:pPr>
    </w:p>
    <w:p>
      <w:pPr>
        <w:pStyle w:val="BodyText"/>
        <w:spacing w:line="480" w:lineRule="auto" w:before="75"/>
        <w:ind w:left="1113" w:right="112"/>
        <w:jc w:val="both"/>
      </w:pPr>
      <w:r>
        <w:rPr/>
        <w:drawing>
          <wp:anchor distT="0" distB="0" distL="0" distR="0" allowOverlap="1" layoutInCell="1" locked="0" behindDoc="0" simplePos="0" relativeHeight="15734784">
            <wp:simplePos x="0" y="0"/>
            <wp:positionH relativeFrom="page">
              <wp:posOffset>12700</wp:posOffset>
            </wp:positionH>
            <wp:positionV relativeFrom="paragraph">
              <wp:posOffset>1378497</wp:posOffset>
            </wp:positionV>
            <wp:extent cx="876172" cy="6234938"/>
            <wp:effectExtent l="0" t="0" r="0" b="0"/>
            <wp:wrapNone/>
            <wp:docPr id="23" name="image1.png"/>
            <wp:cNvGraphicFramePr>
              <a:graphicFrameLocks noChangeAspect="1"/>
            </wp:cNvGraphicFramePr>
            <a:graphic>
              <a:graphicData uri="http://schemas.openxmlformats.org/drawingml/2006/picture">
                <pic:pic>
                  <pic:nvPicPr>
                    <pic:cNvPr id="24" name="image1.png"/>
                    <pic:cNvPicPr/>
                  </pic:nvPicPr>
                  <pic:blipFill>
                    <a:blip r:embed="rId6" cstate="print"/>
                    <a:stretch>
                      <a:fillRect/>
                    </a:stretch>
                  </pic:blipFill>
                  <pic:spPr>
                    <a:xfrm>
                      <a:off x="0" y="0"/>
                      <a:ext cx="876172" cy="6234938"/>
                    </a:xfrm>
                    <a:prstGeom prst="rect">
                      <a:avLst/>
                    </a:prstGeom>
                  </pic:spPr>
                </pic:pic>
              </a:graphicData>
            </a:graphic>
          </wp:anchor>
        </w:drawing>
      </w:r>
      <w:r>
        <w:rPr/>
        <w:t>The results of the histological investigations are reported in the following figures (Figure 5-7). Main evidences are presented here, whereas their relevance is discussed in the following section. Histological sections were stained with Hematoxilkin and Eosin for general survey of tissues, and with Alcian blue, a specifica stain for the demonstration of glycosaminoglycans (as hyaluronic acid) in the</w:t>
      </w:r>
      <w:r>
        <w:rPr>
          <w:spacing w:val="-1"/>
        </w:rPr>
        <w:t> </w:t>
      </w:r>
      <w:r>
        <w:rPr/>
        <w:t>sections.</w:t>
      </w:r>
    </w:p>
    <w:p>
      <w:pPr>
        <w:pStyle w:val="BodyText"/>
        <w:rPr>
          <w:sz w:val="26"/>
        </w:rPr>
      </w:pPr>
    </w:p>
    <w:p>
      <w:pPr>
        <w:pStyle w:val="BodyText"/>
        <w:spacing w:before="9"/>
        <w:rPr>
          <w:sz w:val="25"/>
        </w:rPr>
      </w:pPr>
    </w:p>
    <w:p>
      <w:pPr>
        <w:pStyle w:val="Heading1"/>
        <w:ind w:left="1113"/>
      </w:pPr>
      <w:bookmarkStart w:name="DISCUSSION" w:id="6"/>
      <w:bookmarkEnd w:id="6"/>
      <w:r>
        <w:rPr>
          <w:b w:val="0"/>
        </w:rPr>
      </w:r>
      <w:r>
        <w:rPr/>
        <w:t>DISCUSSION</w:t>
      </w:r>
    </w:p>
    <w:p>
      <w:pPr>
        <w:pStyle w:val="BodyText"/>
        <w:spacing w:before="8"/>
        <w:rPr>
          <w:b/>
          <w:sz w:val="23"/>
        </w:rPr>
      </w:pPr>
    </w:p>
    <w:p>
      <w:pPr>
        <w:pStyle w:val="BodyText"/>
        <w:spacing w:line="480" w:lineRule="auto"/>
        <w:ind w:left="1113" w:right="112"/>
        <w:jc w:val="both"/>
      </w:pPr>
      <w:r>
        <w:rPr/>
        <w:t>The analysis of the chemical data shows that the initial 28mg/ml hyaluronic acid concentration does not undergo variations during the crosslinking process with polyethylene glycol and the sterilization of the same hydrogel performed in an autoclave in order to obtain the sterility of the product, a fundamental requirement for its injectability.</w:t>
      </w:r>
    </w:p>
    <w:p>
      <w:pPr>
        <w:pStyle w:val="BodyText"/>
        <w:spacing w:line="480" w:lineRule="auto"/>
        <w:ind w:left="1113" w:right="111"/>
        <w:jc w:val="both"/>
      </w:pPr>
      <w:r>
        <w:rPr/>
        <w:t>Even</w:t>
      </w:r>
      <w:r>
        <w:rPr>
          <w:spacing w:val="-15"/>
        </w:rPr>
        <w:t> </w:t>
      </w:r>
      <w:r>
        <w:rPr/>
        <w:t>the</w:t>
      </w:r>
      <w:r>
        <w:rPr>
          <w:spacing w:val="-14"/>
        </w:rPr>
        <w:t> </w:t>
      </w:r>
      <w:r>
        <w:rPr/>
        <w:t>analyses</w:t>
      </w:r>
      <w:r>
        <w:rPr>
          <w:spacing w:val="-14"/>
        </w:rPr>
        <w:t> </w:t>
      </w:r>
      <w:r>
        <w:rPr/>
        <w:t>conducted</w:t>
      </w:r>
      <w:r>
        <w:rPr>
          <w:spacing w:val="-14"/>
        </w:rPr>
        <w:t> </w:t>
      </w:r>
      <w:r>
        <w:rPr/>
        <w:t>with</w:t>
      </w:r>
      <w:r>
        <w:rPr>
          <w:spacing w:val="-16"/>
        </w:rPr>
        <w:t> </w:t>
      </w:r>
      <w:r>
        <w:rPr/>
        <w:t>CP-MAS</w:t>
      </w:r>
      <w:r>
        <w:rPr>
          <w:spacing w:val="-15"/>
        </w:rPr>
        <w:t> </w:t>
      </w:r>
      <w:r>
        <w:rPr/>
        <w:t>NMR</w:t>
      </w:r>
      <w:r>
        <w:rPr>
          <w:spacing w:val="-14"/>
        </w:rPr>
        <w:t> </w:t>
      </w:r>
      <w:r>
        <w:rPr/>
        <w:t>(Cross</w:t>
      </w:r>
      <w:r>
        <w:rPr>
          <w:spacing w:val="-14"/>
        </w:rPr>
        <w:t> </w:t>
      </w:r>
      <w:r>
        <w:rPr/>
        <w:t>Polarization</w:t>
      </w:r>
      <w:r>
        <w:rPr>
          <w:spacing w:val="-14"/>
        </w:rPr>
        <w:t> </w:t>
      </w:r>
      <w:r>
        <w:rPr/>
        <w:t>Magic</w:t>
      </w:r>
      <w:r>
        <w:rPr>
          <w:spacing w:val="-14"/>
        </w:rPr>
        <w:t> </w:t>
      </w:r>
      <w:r>
        <w:rPr/>
        <w:t>Angle</w:t>
      </w:r>
      <w:r>
        <w:rPr>
          <w:spacing w:val="-14"/>
        </w:rPr>
        <w:t> </w:t>
      </w:r>
      <w:r>
        <w:rPr/>
        <w:t>Spinning</w:t>
      </w:r>
      <w:r>
        <w:rPr>
          <w:spacing w:val="-14"/>
        </w:rPr>
        <w:t> </w:t>
      </w:r>
      <w:r>
        <w:rPr/>
        <w:t>Nuclear Magnetic Resonance) did not show alterations in the structure of sodium hyaluronate. Moreover, chemical analyses showed that no residual PEGDE is present in the hydrogel, a fundamental feature to avoid health risk. In details, the concentration of residual PEGDE was estimated to be lower than 10 ng/mL: although no detailed risk assessment was conducted on residual PEGDE, evaluations on residual BDDE in HA hydrogels evidenced that a residual concentration of 2 µg/mL leads to a minimal cancer risk associated to BDDE exposure (U.S. Food and Drug Administration (FDA), Cancer Risk Assessment, Advisory Panel Briefing Information, PMA</w:t>
      </w:r>
      <w:r>
        <w:rPr>
          <w:spacing w:val="-6"/>
        </w:rPr>
        <w:t> </w:t>
      </w:r>
      <w:r>
        <w:rPr/>
        <w:t>P020023).</w:t>
      </w:r>
    </w:p>
    <w:p>
      <w:pPr>
        <w:pStyle w:val="BodyText"/>
        <w:spacing w:line="480" w:lineRule="auto"/>
        <w:ind w:left="1113" w:right="113"/>
        <w:jc w:val="both"/>
      </w:pPr>
      <w:r>
        <w:rPr/>
        <w:t>The chemical structure of the polyethylene glycol appears to make the final polymeric structure of the hydrogel less rigid than other crosslinking chemical agents with comparable crosslinking ratios (32).</w:t>
      </w:r>
    </w:p>
    <w:p>
      <w:pPr>
        <w:spacing w:after="0" w:line="480" w:lineRule="auto"/>
        <w:jc w:val="both"/>
        <w:sectPr>
          <w:pgSz w:w="11910" w:h="16840"/>
          <w:pgMar w:header="0" w:footer="367" w:top="1320" w:bottom="560" w:left="20" w:right="1020"/>
        </w:sectPr>
      </w:pPr>
    </w:p>
    <w:p>
      <w:pPr>
        <w:pStyle w:val="BodyText"/>
        <w:spacing w:line="480" w:lineRule="auto" w:before="75"/>
        <w:ind w:left="1113" w:right="112"/>
        <w:jc w:val="both"/>
      </w:pPr>
      <w:r>
        <w:rPr/>
        <w:t>It has also been reported that the hydrogel was itself more resistant to physiological degradation maintaining biocompatibility and HA biological activity (27).</w:t>
      </w:r>
    </w:p>
    <w:p>
      <w:pPr>
        <w:pStyle w:val="BodyText"/>
        <w:spacing w:line="480" w:lineRule="auto"/>
        <w:ind w:left="1113" w:right="111"/>
        <w:jc w:val="both"/>
      </w:pPr>
      <w:r>
        <w:rPr/>
        <w:drawing>
          <wp:anchor distT="0" distB="0" distL="0" distR="0" allowOverlap="1" layoutInCell="1" locked="0" behindDoc="0" simplePos="0" relativeHeight="15735296">
            <wp:simplePos x="0" y="0"/>
            <wp:positionH relativeFrom="page">
              <wp:posOffset>12700</wp:posOffset>
            </wp:positionH>
            <wp:positionV relativeFrom="paragraph">
              <wp:posOffset>629832</wp:posOffset>
            </wp:positionV>
            <wp:extent cx="876172" cy="6234938"/>
            <wp:effectExtent l="0" t="0" r="0" b="0"/>
            <wp:wrapNone/>
            <wp:docPr id="25" name="image1.png"/>
            <wp:cNvGraphicFramePr>
              <a:graphicFrameLocks noChangeAspect="1"/>
            </wp:cNvGraphicFramePr>
            <a:graphic>
              <a:graphicData uri="http://schemas.openxmlformats.org/drawingml/2006/picture">
                <pic:pic>
                  <pic:nvPicPr>
                    <pic:cNvPr id="26" name="image1.png"/>
                    <pic:cNvPicPr/>
                  </pic:nvPicPr>
                  <pic:blipFill>
                    <a:blip r:embed="rId6" cstate="print"/>
                    <a:stretch>
                      <a:fillRect/>
                    </a:stretch>
                  </pic:blipFill>
                  <pic:spPr>
                    <a:xfrm>
                      <a:off x="0" y="0"/>
                      <a:ext cx="876172" cy="6234938"/>
                    </a:xfrm>
                    <a:prstGeom prst="rect">
                      <a:avLst/>
                    </a:prstGeom>
                  </pic:spPr>
                </pic:pic>
              </a:graphicData>
            </a:graphic>
          </wp:anchor>
        </w:drawing>
      </w:r>
      <w:r>
        <w:rPr/>
        <w:t>The rheological characterization of the hydrogels used as dermal fillers is of the utmost importance to</w:t>
      </w:r>
      <w:r>
        <w:rPr>
          <w:spacing w:val="-11"/>
        </w:rPr>
        <w:t> </w:t>
      </w:r>
      <w:r>
        <w:rPr/>
        <w:t>define</w:t>
      </w:r>
      <w:r>
        <w:rPr>
          <w:spacing w:val="-12"/>
        </w:rPr>
        <w:t> </w:t>
      </w:r>
      <w:r>
        <w:rPr/>
        <w:t>their</w:t>
      </w:r>
      <w:r>
        <w:rPr>
          <w:spacing w:val="-11"/>
        </w:rPr>
        <w:t> </w:t>
      </w:r>
      <w:r>
        <w:rPr/>
        <w:t>behavior</w:t>
      </w:r>
      <w:r>
        <w:rPr>
          <w:spacing w:val="-12"/>
        </w:rPr>
        <w:t> </w:t>
      </w:r>
      <w:r>
        <w:rPr/>
        <w:t>once</w:t>
      </w:r>
      <w:r>
        <w:rPr>
          <w:spacing w:val="-11"/>
        </w:rPr>
        <w:t> </w:t>
      </w:r>
      <w:r>
        <w:rPr/>
        <w:t>injected</w:t>
      </w:r>
      <w:r>
        <w:rPr>
          <w:spacing w:val="-12"/>
        </w:rPr>
        <w:t> </w:t>
      </w:r>
      <w:r>
        <w:rPr/>
        <w:t>into</w:t>
      </w:r>
      <w:r>
        <w:rPr>
          <w:spacing w:val="-12"/>
        </w:rPr>
        <w:t> </w:t>
      </w:r>
      <w:r>
        <w:rPr/>
        <w:t>the</w:t>
      </w:r>
      <w:r>
        <w:rPr>
          <w:spacing w:val="-11"/>
        </w:rPr>
        <w:t> </w:t>
      </w:r>
      <w:r>
        <w:rPr/>
        <w:t>skin.</w:t>
      </w:r>
      <w:r>
        <w:rPr>
          <w:spacing w:val="-12"/>
        </w:rPr>
        <w:t> </w:t>
      </w:r>
      <w:r>
        <w:rPr/>
        <w:t>A</w:t>
      </w:r>
      <w:r>
        <w:rPr>
          <w:spacing w:val="-12"/>
        </w:rPr>
        <w:t> </w:t>
      </w:r>
      <w:r>
        <w:rPr/>
        <w:t>purely</w:t>
      </w:r>
      <w:r>
        <w:rPr>
          <w:spacing w:val="-12"/>
        </w:rPr>
        <w:t> </w:t>
      </w:r>
      <w:r>
        <w:rPr/>
        <w:t>elastic</w:t>
      </w:r>
      <w:r>
        <w:rPr>
          <w:spacing w:val="-11"/>
        </w:rPr>
        <w:t> </w:t>
      </w:r>
      <w:r>
        <w:rPr/>
        <w:t>solids</w:t>
      </w:r>
      <w:r>
        <w:rPr>
          <w:spacing w:val="-11"/>
        </w:rPr>
        <w:t> </w:t>
      </w:r>
      <w:r>
        <w:rPr/>
        <w:t>deform</w:t>
      </w:r>
      <w:r>
        <w:rPr>
          <w:spacing w:val="-12"/>
        </w:rPr>
        <w:t> </w:t>
      </w:r>
      <w:r>
        <w:rPr/>
        <w:t>up</w:t>
      </w:r>
      <w:r>
        <w:rPr>
          <w:spacing w:val="-11"/>
        </w:rPr>
        <w:t> </w:t>
      </w:r>
      <w:r>
        <w:rPr/>
        <w:t>to</w:t>
      </w:r>
      <w:r>
        <w:rPr>
          <w:spacing w:val="-11"/>
        </w:rPr>
        <w:t> </w:t>
      </w:r>
      <w:r>
        <w:rPr/>
        <w:t>a</w:t>
      </w:r>
      <w:r>
        <w:rPr>
          <w:spacing w:val="-12"/>
        </w:rPr>
        <w:t> </w:t>
      </w:r>
      <w:r>
        <w:rPr/>
        <w:t>certain</w:t>
      </w:r>
      <w:r>
        <w:rPr>
          <w:spacing w:val="-11"/>
        </w:rPr>
        <w:t> </w:t>
      </w:r>
      <w:r>
        <w:rPr/>
        <w:t>point under shear stress and recover when the stress is removed. A purely viscous fluid instead undergoes a progressive and irreversible strain under shear stress: when the stress is removed, the material remains deformed. Although different effects are targeted by aesthetic treatments (pure volume, contouring, lifting, etc.), a dermal filler should always show an elastic behavior to recover its shape after deformation due to skin movements and avoid flowing away from the injection site. The behavior</w:t>
      </w:r>
      <w:r>
        <w:rPr>
          <w:spacing w:val="-5"/>
        </w:rPr>
        <w:t> </w:t>
      </w:r>
      <w:r>
        <w:rPr/>
        <w:t>of</w:t>
      </w:r>
      <w:r>
        <w:rPr>
          <w:spacing w:val="-7"/>
        </w:rPr>
        <w:t> </w:t>
      </w:r>
      <w:r>
        <w:rPr/>
        <w:t>a</w:t>
      </w:r>
      <w:r>
        <w:rPr>
          <w:spacing w:val="-5"/>
        </w:rPr>
        <w:t> </w:t>
      </w:r>
      <w:r>
        <w:rPr/>
        <w:t>gel</w:t>
      </w:r>
      <w:r>
        <w:rPr>
          <w:spacing w:val="-4"/>
        </w:rPr>
        <w:t> </w:t>
      </w:r>
      <w:r>
        <w:rPr/>
        <w:t>under</w:t>
      </w:r>
      <w:r>
        <w:rPr>
          <w:spacing w:val="-5"/>
        </w:rPr>
        <w:t> </w:t>
      </w:r>
      <w:r>
        <w:rPr/>
        <w:t>stress,</w:t>
      </w:r>
      <w:r>
        <w:rPr>
          <w:spacing w:val="-6"/>
        </w:rPr>
        <w:t> </w:t>
      </w:r>
      <w:r>
        <w:rPr/>
        <w:t>is</w:t>
      </w:r>
      <w:r>
        <w:rPr>
          <w:spacing w:val="-5"/>
        </w:rPr>
        <w:t> </w:t>
      </w:r>
      <w:r>
        <w:rPr/>
        <w:t>described</w:t>
      </w:r>
      <w:r>
        <w:rPr>
          <w:spacing w:val="-4"/>
        </w:rPr>
        <w:t> </w:t>
      </w:r>
      <w:r>
        <w:rPr/>
        <w:t>by</w:t>
      </w:r>
      <w:r>
        <w:rPr>
          <w:spacing w:val="-5"/>
        </w:rPr>
        <w:t> </w:t>
      </w:r>
      <w:r>
        <w:rPr/>
        <w:t>the</w:t>
      </w:r>
      <w:r>
        <w:rPr>
          <w:spacing w:val="-5"/>
        </w:rPr>
        <w:t> </w:t>
      </w:r>
      <w:r>
        <w:rPr/>
        <w:t>complex</w:t>
      </w:r>
      <w:r>
        <w:rPr>
          <w:spacing w:val="-3"/>
        </w:rPr>
        <w:t> </w:t>
      </w:r>
      <w:r>
        <w:rPr/>
        <w:t>module</w:t>
      </w:r>
      <w:r>
        <w:rPr>
          <w:spacing w:val="-5"/>
        </w:rPr>
        <w:t> </w:t>
      </w:r>
      <w:r>
        <w:rPr/>
        <w:t>(G</w:t>
      </w:r>
      <w:r>
        <w:rPr>
          <w:spacing w:val="-6"/>
        </w:rPr>
        <w:t> </w:t>
      </w:r>
      <w:r>
        <w:rPr/>
        <w:t>*)</w:t>
      </w:r>
      <w:r>
        <w:rPr>
          <w:spacing w:val="-5"/>
        </w:rPr>
        <w:t> </w:t>
      </w:r>
      <w:r>
        <w:rPr/>
        <w:t>that</w:t>
      </w:r>
      <w:r>
        <w:rPr>
          <w:spacing w:val="-4"/>
        </w:rPr>
        <w:t> </w:t>
      </w:r>
      <w:r>
        <w:rPr/>
        <w:t>can</w:t>
      </w:r>
      <w:r>
        <w:rPr>
          <w:spacing w:val="-5"/>
        </w:rPr>
        <w:t> </w:t>
      </w:r>
      <w:r>
        <w:rPr/>
        <w:t>be</w:t>
      </w:r>
      <w:r>
        <w:rPr>
          <w:spacing w:val="-5"/>
        </w:rPr>
        <w:t> </w:t>
      </w:r>
      <w:r>
        <w:rPr/>
        <w:t>divided</w:t>
      </w:r>
      <w:r>
        <w:rPr>
          <w:spacing w:val="-5"/>
        </w:rPr>
        <w:t> </w:t>
      </w:r>
      <w:r>
        <w:rPr/>
        <w:t>into</w:t>
      </w:r>
      <w:r>
        <w:rPr>
          <w:spacing w:val="-5"/>
        </w:rPr>
        <w:t> </w:t>
      </w:r>
      <w:r>
        <w:rPr/>
        <w:t>two components:</w:t>
      </w:r>
    </w:p>
    <w:p>
      <w:pPr>
        <w:pStyle w:val="ListParagraph"/>
        <w:numPr>
          <w:ilvl w:val="0"/>
          <w:numId w:val="1"/>
        </w:numPr>
        <w:tabs>
          <w:tab w:pos="1834" w:val="left" w:leader="none"/>
        </w:tabs>
        <w:spacing w:line="240" w:lineRule="auto" w:before="16" w:after="0"/>
        <w:ind w:left="1834" w:right="0" w:hanging="361"/>
        <w:jc w:val="both"/>
        <w:rPr>
          <w:sz w:val="24"/>
        </w:rPr>
      </w:pPr>
      <w:r>
        <w:rPr>
          <w:sz w:val="24"/>
        </w:rPr>
        <w:t>G ': the elastic module, the contribution of the elastic (solid-like)</w:t>
      </w:r>
      <w:r>
        <w:rPr>
          <w:spacing w:val="-18"/>
          <w:sz w:val="24"/>
        </w:rPr>
        <w:t> </w:t>
      </w:r>
      <w:r>
        <w:rPr>
          <w:sz w:val="24"/>
        </w:rPr>
        <w:t>behavior</w:t>
      </w:r>
    </w:p>
    <w:p>
      <w:pPr>
        <w:pStyle w:val="BodyText"/>
        <w:spacing w:before="6"/>
        <w:rPr>
          <w:sz w:val="25"/>
        </w:rPr>
      </w:pPr>
    </w:p>
    <w:p>
      <w:pPr>
        <w:pStyle w:val="ListParagraph"/>
        <w:numPr>
          <w:ilvl w:val="0"/>
          <w:numId w:val="1"/>
        </w:numPr>
        <w:tabs>
          <w:tab w:pos="1834" w:val="left" w:leader="none"/>
        </w:tabs>
        <w:spacing w:line="240" w:lineRule="auto" w:before="0" w:after="0"/>
        <w:ind w:left="1834" w:right="0" w:hanging="361"/>
        <w:jc w:val="both"/>
        <w:rPr>
          <w:sz w:val="24"/>
        </w:rPr>
      </w:pPr>
      <w:r>
        <w:rPr>
          <w:sz w:val="24"/>
        </w:rPr>
        <w:t>G ": the viscous module, the contribution of viscous (liquid-like)</w:t>
      </w:r>
      <w:r>
        <w:rPr>
          <w:spacing w:val="-17"/>
          <w:sz w:val="24"/>
        </w:rPr>
        <w:t> </w:t>
      </w:r>
      <w:r>
        <w:rPr>
          <w:sz w:val="24"/>
        </w:rPr>
        <w:t>behavior</w:t>
      </w:r>
    </w:p>
    <w:p>
      <w:pPr>
        <w:pStyle w:val="BodyText"/>
        <w:rPr>
          <w:sz w:val="28"/>
        </w:rPr>
      </w:pPr>
    </w:p>
    <w:p>
      <w:pPr>
        <w:pStyle w:val="BodyText"/>
        <w:rPr>
          <w:sz w:val="28"/>
        </w:rPr>
      </w:pPr>
    </w:p>
    <w:p>
      <w:pPr>
        <w:pStyle w:val="BodyText"/>
        <w:spacing w:line="480" w:lineRule="auto" w:before="183"/>
        <w:ind w:left="1113" w:right="113"/>
        <w:jc w:val="both"/>
      </w:pPr>
      <w:r>
        <w:rPr/>
        <w:t>The evaluation of the data (see Figures 2 and 3 and Tables 2 and 3) shows a predominance of the elastic component compared to the viscous component, giving the hydrogel a solid like behaviour, while maintaining excellent characteristics of plasticity and extrusibility.</w:t>
      </w:r>
    </w:p>
    <w:p>
      <w:pPr>
        <w:pStyle w:val="BodyText"/>
        <w:spacing w:line="480" w:lineRule="auto"/>
        <w:ind w:left="1113" w:right="113"/>
        <w:jc w:val="both"/>
      </w:pPr>
      <w:r>
        <w:rPr/>
        <w:t>In particular, under the stress due to facial movements, high G′ gels will remain more stable in volume, due to their low deformability, therefore the hydrogel is associated with a lower migration in the skin, allowing much more natural and stable results.</w:t>
      </w:r>
    </w:p>
    <w:p>
      <w:pPr>
        <w:pStyle w:val="BodyText"/>
        <w:spacing w:line="480" w:lineRule="auto"/>
        <w:ind w:left="1113" w:right="111"/>
        <w:jc w:val="both"/>
      </w:pPr>
      <w:r>
        <w:rPr/>
        <w:t>The analysis of the rheological data shows how the HA (28 mg/mL) PEG-crosslinked is associated with a high cohesivity, retaining at the same time the correct viscoelasticity properties. Hydrogels</w:t>
      </w:r>
    </w:p>
    <w:p>
      <w:pPr>
        <w:spacing w:after="0" w:line="480" w:lineRule="auto"/>
        <w:jc w:val="both"/>
        <w:sectPr>
          <w:pgSz w:w="11910" w:h="16840"/>
          <w:pgMar w:header="0" w:footer="367" w:top="1320" w:bottom="560" w:left="20" w:right="1020"/>
        </w:sectPr>
      </w:pPr>
    </w:p>
    <w:p>
      <w:pPr>
        <w:pStyle w:val="BodyText"/>
        <w:spacing w:line="480" w:lineRule="auto" w:before="75"/>
        <w:ind w:left="1114" w:right="113"/>
        <w:jc w:val="both"/>
      </w:pPr>
      <w:r>
        <w:rPr/>
        <w:t>with high cohesivity allow to obtain a better resistance to mechanical degradation and prevent gel migration, showing as a consequence, a better duration in the skin and maintaining the initial shape of gel deposit. These features are possible thanks to the PEG-crosslinking technology.</w:t>
      </w:r>
    </w:p>
    <w:p>
      <w:pPr>
        <w:pStyle w:val="BodyText"/>
        <w:spacing w:line="480" w:lineRule="auto"/>
        <w:ind w:left="1113" w:right="111"/>
        <w:jc w:val="both"/>
      </w:pPr>
      <w:r>
        <w:rPr/>
        <w:drawing>
          <wp:anchor distT="0" distB="0" distL="0" distR="0" allowOverlap="1" layoutInCell="1" locked="0" behindDoc="0" simplePos="0" relativeHeight="15735808">
            <wp:simplePos x="0" y="0"/>
            <wp:positionH relativeFrom="page">
              <wp:posOffset>12700</wp:posOffset>
            </wp:positionH>
            <wp:positionV relativeFrom="paragraph">
              <wp:posOffset>279312</wp:posOffset>
            </wp:positionV>
            <wp:extent cx="876172" cy="6234938"/>
            <wp:effectExtent l="0" t="0" r="0" b="0"/>
            <wp:wrapNone/>
            <wp:docPr id="27" name="image1.png"/>
            <wp:cNvGraphicFramePr>
              <a:graphicFrameLocks noChangeAspect="1"/>
            </wp:cNvGraphicFramePr>
            <a:graphic>
              <a:graphicData uri="http://schemas.openxmlformats.org/drawingml/2006/picture">
                <pic:pic>
                  <pic:nvPicPr>
                    <pic:cNvPr id="28" name="image1.png"/>
                    <pic:cNvPicPr/>
                  </pic:nvPicPr>
                  <pic:blipFill>
                    <a:blip r:embed="rId6" cstate="print"/>
                    <a:stretch>
                      <a:fillRect/>
                    </a:stretch>
                  </pic:blipFill>
                  <pic:spPr>
                    <a:xfrm>
                      <a:off x="0" y="0"/>
                      <a:ext cx="876172" cy="6234938"/>
                    </a:xfrm>
                    <a:prstGeom prst="rect">
                      <a:avLst/>
                    </a:prstGeom>
                  </pic:spPr>
                </pic:pic>
              </a:graphicData>
            </a:graphic>
          </wp:anchor>
        </w:drawing>
      </w:r>
      <w:r>
        <w:rPr/>
        <w:t>Another important parameter to consider is the plasticity, the propensity of a material to undergo permanent deformation under load. Hydrogel with low plasticity have more adaptability, while filler with high plasticity are less malleable and are associated with more vertical vector projection.</w:t>
      </w:r>
    </w:p>
    <w:p>
      <w:pPr>
        <w:pStyle w:val="BodyText"/>
        <w:spacing w:line="480" w:lineRule="auto" w:before="1"/>
        <w:ind w:left="1113" w:right="111"/>
        <w:jc w:val="both"/>
      </w:pPr>
      <w:r>
        <w:rPr/>
        <w:t>The dermo-histological analysis has demonstrated, an optimal distribution and integration in the connective tissue of the PEG-crosslinked HA hydrogels. The injected filler appears harmoniously integrated with the structures within the connective tissue, such as collagen fibres, blood and lymphatic vessels, glands and nerves. Furthermore, if we consider that our observations in these subjects</w:t>
      </w:r>
      <w:r>
        <w:rPr>
          <w:spacing w:val="-7"/>
        </w:rPr>
        <w:t> </w:t>
      </w:r>
      <w:r>
        <w:rPr/>
        <w:t>were</w:t>
      </w:r>
      <w:r>
        <w:rPr>
          <w:spacing w:val="-6"/>
        </w:rPr>
        <w:t> </w:t>
      </w:r>
      <w:r>
        <w:rPr/>
        <w:t>made</w:t>
      </w:r>
      <w:r>
        <w:rPr>
          <w:spacing w:val="-6"/>
        </w:rPr>
        <w:t> </w:t>
      </w:r>
      <w:r>
        <w:rPr/>
        <w:t>eight</w:t>
      </w:r>
      <w:r>
        <w:rPr>
          <w:spacing w:val="-6"/>
        </w:rPr>
        <w:t> </w:t>
      </w:r>
      <w:r>
        <w:rPr/>
        <w:t>months</w:t>
      </w:r>
      <w:r>
        <w:rPr>
          <w:spacing w:val="-6"/>
        </w:rPr>
        <w:t> </w:t>
      </w:r>
      <w:r>
        <w:rPr/>
        <w:t>after</w:t>
      </w:r>
      <w:r>
        <w:rPr>
          <w:spacing w:val="-6"/>
        </w:rPr>
        <w:t> </w:t>
      </w:r>
      <w:r>
        <w:rPr/>
        <w:t>the</w:t>
      </w:r>
      <w:r>
        <w:rPr>
          <w:spacing w:val="-7"/>
        </w:rPr>
        <w:t> </w:t>
      </w:r>
      <w:r>
        <w:rPr/>
        <w:t>filler</w:t>
      </w:r>
      <w:r>
        <w:rPr>
          <w:spacing w:val="-7"/>
        </w:rPr>
        <w:t> </w:t>
      </w:r>
      <w:r>
        <w:rPr/>
        <w:t>injection,</w:t>
      </w:r>
      <w:r>
        <w:rPr>
          <w:spacing w:val="-6"/>
        </w:rPr>
        <w:t> </w:t>
      </w:r>
      <w:r>
        <w:rPr/>
        <w:t>it</w:t>
      </w:r>
      <w:r>
        <w:rPr>
          <w:spacing w:val="-7"/>
        </w:rPr>
        <w:t> </w:t>
      </w:r>
      <w:r>
        <w:rPr/>
        <w:t>means</w:t>
      </w:r>
      <w:r>
        <w:rPr>
          <w:spacing w:val="-6"/>
        </w:rPr>
        <w:t> </w:t>
      </w:r>
      <w:r>
        <w:rPr/>
        <w:t>that</w:t>
      </w:r>
      <w:r>
        <w:rPr>
          <w:spacing w:val="-6"/>
        </w:rPr>
        <w:t> </w:t>
      </w:r>
      <w:r>
        <w:rPr/>
        <w:t>this</w:t>
      </w:r>
      <w:r>
        <w:rPr>
          <w:spacing w:val="-6"/>
        </w:rPr>
        <w:t> </w:t>
      </w:r>
      <w:r>
        <w:rPr/>
        <w:t>material</w:t>
      </w:r>
      <w:r>
        <w:rPr>
          <w:spacing w:val="-6"/>
        </w:rPr>
        <w:t> </w:t>
      </w:r>
      <w:r>
        <w:rPr/>
        <w:t>was</w:t>
      </w:r>
      <w:r>
        <w:rPr>
          <w:spacing w:val="-6"/>
        </w:rPr>
        <w:t> </w:t>
      </w:r>
      <w:r>
        <w:rPr/>
        <w:t>for</w:t>
      </w:r>
      <w:r>
        <w:rPr>
          <w:spacing w:val="-7"/>
        </w:rPr>
        <w:t> </w:t>
      </w:r>
      <w:r>
        <w:rPr/>
        <w:t>the</w:t>
      </w:r>
      <w:r>
        <w:rPr>
          <w:spacing w:val="-6"/>
        </w:rPr>
        <w:t> </w:t>
      </w:r>
      <w:r>
        <w:rPr/>
        <w:t>most part retained in hypodermic tissue, with very low dissolution and very limited diffusion out of the injection</w:t>
      </w:r>
      <w:r>
        <w:rPr>
          <w:spacing w:val="-14"/>
        </w:rPr>
        <w:t> </w:t>
      </w:r>
      <w:r>
        <w:rPr/>
        <w:t>site.</w:t>
      </w:r>
      <w:r>
        <w:rPr>
          <w:spacing w:val="-13"/>
        </w:rPr>
        <w:t> </w:t>
      </w:r>
      <w:r>
        <w:rPr/>
        <w:t>Moreover,</w:t>
      </w:r>
      <w:r>
        <w:rPr>
          <w:spacing w:val="-15"/>
        </w:rPr>
        <w:t> </w:t>
      </w:r>
      <w:r>
        <w:rPr/>
        <w:t>the</w:t>
      </w:r>
      <w:r>
        <w:rPr>
          <w:spacing w:val="-14"/>
        </w:rPr>
        <w:t> </w:t>
      </w:r>
      <w:r>
        <w:rPr/>
        <w:t>dermo-histological</w:t>
      </w:r>
      <w:r>
        <w:rPr>
          <w:spacing w:val="-14"/>
        </w:rPr>
        <w:t> </w:t>
      </w:r>
      <w:r>
        <w:rPr/>
        <w:t>analysis</w:t>
      </w:r>
      <w:r>
        <w:rPr>
          <w:spacing w:val="-14"/>
        </w:rPr>
        <w:t> </w:t>
      </w:r>
      <w:r>
        <w:rPr/>
        <w:t>has</w:t>
      </w:r>
      <w:r>
        <w:rPr>
          <w:spacing w:val="-14"/>
        </w:rPr>
        <w:t> </w:t>
      </w:r>
      <w:r>
        <w:rPr/>
        <w:t>demonstrated</w:t>
      </w:r>
      <w:r>
        <w:rPr>
          <w:spacing w:val="-15"/>
        </w:rPr>
        <w:t> </w:t>
      </w:r>
      <w:r>
        <w:rPr/>
        <w:t>the</w:t>
      </w:r>
      <w:r>
        <w:rPr>
          <w:spacing w:val="-13"/>
        </w:rPr>
        <w:t> </w:t>
      </w:r>
      <w:r>
        <w:rPr/>
        <w:t>absence</w:t>
      </w:r>
      <w:r>
        <w:rPr>
          <w:spacing w:val="-14"/>
        </w:rPr>
        <w:t> </w:t>
      </w:r>
      <w:r>
        <w:rPr/>
        <w:t>of</w:t>
      </w:r>
      <w:r>
        <w:rPr>
          <w:spacing w:val="-15"/>
        </w:rPr>
        <w:t> </w:t>
      </w:r>
      <w:r>
        <w:rPr/>
        <w:t>any</w:t>
      </w:r>
      <w:r>
        <w:rPr>
          <w:spacing w:val="-13"/>
        </w:rPr>
        <w:t> </w:t>
      </w:r>
      <w:r>
        <w:rPr/>
        <w:t>adverse reaction, inflammatory cells surrounding the implant or closely associated with it have never been found (26).</w:t>
      </w:r>
    </w:p>
    <w:p>
      <w:pPr>
        <w:pStyle w:val="BodyText"/>
        <w:spacing w:line="480" w:lineRule="auto"/>
        <w:ind w:left="1113" w:right="112"/>
        <w:jc w:val="both"/>
      </w:pPr>
      <w:r>
        <w:rPr/>
        <w:t>The</w:t>
      </w:r>
      <w:r>
        <w:rPr>
          <w:spacing w:val="-2"/>
        </w:rPr>
        <w:t> </w:t>
      </w:r>
      <w:r>
        <w:rPr/>
        <w:t>major</w:t>
      </w:r>
      <w:r>
        <w:rPr>
          <w:spacing w:val="-3"/>
        </w:rPr>
        <w:t> </w:t>
      </w:r>
      <w:r>
        <w:rPr/>
        <w:t>weakness</w:t>
      </w:r>
      <w:r>
        <w:rPr>
          <w:spacing w:val="-4"/>
        </w:rPr>
        <w:t> </w:t>
      </w:r>
      <w:r>
        <w:rPr/>
        <w:t>of</w:t>
      </w:r>
      <w:r>
        <w:rPr>
          <w:spacing w:val="-5"/>
        </w:rPr>
        <w:t> </w:t>
      </w:r>
      <w:r>
        <w:rPr/>
        <w:t>this</w:t>
      </w:r>
      <w:r>
        <w:rPr>
          <w:spacing w:val="-4"/>
        </w:rPr>
        <w:t> </w:t>
      </w:r>
      <w:r>
        <w:rPr/>
        <w:t>study</w:t>
      </w:r>
      <w:r>
        <w:rPr>
          <w:spacing w:val="-4"/>
        </w:rPr>
        <w:t> </w:t>
      </w:r>
      <w:r>
        <w:rPr/>
        <w:t>is</w:t>
      </w:r>
      <w:r>
        <w:rPr>
          <w:spacing w:val="-4"/>
        </w:rPr>
        <w:t> </w:t>
      </w:r>
      <w:r>
        <w:rPr/>
        <w:t>the</w:t>
      </w:r>
      <w:r>
        <w:rPr>
          <w:spacing w:val="-3"/>
        </w:rPr>
        <w:t> </w:t>
      </w:r>
      <w:r>
        <w:rPr/>
        <w:t>lack</w:t>
      </w:r>
      <w:r>
        <w:rPr>
          <w:spacing w:val="-4"/>
        </w:rPr>
        <w:t> </w:t>
      </w:r>
      <w:r>
        <w:rPr/>
        <w:t>of</w:t>
      </w:r>
      <w:r>
        <w:rPr>
          <w:spacing w:val="-5"/>
        </w:rPr>
        <w:t> </w:t>
      </w:r>
      <w:r>
        <w:rPr/>
        <w:t>a</w:t>
      </w:r>
      <w:r>
        <w:rPr>
          <w:spacing w:val="-2"/>
        </w:rPr>
        <w:t> </w:t>
      </w:r>
      <w:r>
        <w:rPr/>
        <w:t>comparison</w:t>
      </w:r>
      <w:r>
        <w:rPr>
          <w:spacing w:val="-4"/>
        </w:rPr>
        <w:t> </w:t>
      </w:r>
      <w:r>
        <w:rPr/>
        <w:t>with</w:t>
      </w:r>
      <w:r>
        <w:rPr>
          <w:spacing w:val="-4"/>
        </w:rPr>
        <w:t> </w:t>
      </w:r>
      <w:r>
        <w:rPr/>
        <w:t>data</w:t>
      </w:r>
      <w:r>
        <w:rPr>
          <w:spacing w:val="-4"/>
        </w:rPr>
        <w:t> </w:t>
      </w:r>
      <w:r>
        <w:rPr/>
        <w:t>from</w:t>
      </w:r>
      <w:r>
        <w:rPr>
          <w:spacing w:val="-5"/>
        </w:rPr>
        <w:t> </w:t>
      </w:r>
      <w:r>
        <w:rPr/>
        <w:t>similar</w:t>
      </w:r>
      <w:r>
        <w:rPr>
          <w:spacing w:val="-2"/>
        </w:rPr>
        <w:t> </w:t>
      </w:r>
      <w:r>
        <w:rPr/>
        <w:t>studies</w:t>
      </w:r>
      <w:r>
        <w:rPr>
          <w:spacing w:val="-4"/>
        </w:rPr>
        <w:t> </w:t>
      </w:r>
      <w:r>
        <w:rPr/>
        <w:t>obtained by other products on the pharmaceutical</w:t>
      </w:r>
      <w:r>
        <w:rPr>
          <w:spacing w:val="-2"/>
        </w:rPr>
        <w:t> </w:t>
      </w:r>
      <w:r>
        <w:rPr/>
        <w:t>market.</w:t>
      </w:r>
    </w:p>
    <w:p>
      <w:pPr>
        <w:pStyle w:val="BodyText"/>
        <w:spacing w:line="480" w:lineRule="auto"/>
        <w:ind w:left="1113" w:right="112"/>
        <w:jc w:val="both"/>
      </w:pPr>
      <w:r>
        <w:rPr/>
        <w:t>One other limit of the study is the absence of an in vivo study, using different products to evaluate their potential and defects.</w:t>
      </w:r>
    </w:p>
    <w:p>
      <w:pPr>
        <w:pStyle w:val="BodyText"/>
        <w:spacing w:line="480" w:lineRule="auto"/>
        <w:ind w:left="1113" w:right="112"/>
        <w:jc w:val="both"/>
      </w:pPr>
      <w:r>
        <w:rPr/>
        <w:t>On the other hand, the histological evaluation allows to really understand how the hydrogels</w:t>
      </w:r>
      <w:r>
        <w:rPr>
          <w:spacing w:val="-29"/>
        </w:rPr>
        <w:t> </w:t>
      </w:r>
      <w:r>
        <w:rPr/>
        <w:t>interact with</w:t>
      </w:r>
      <w:r>
        <w:rPr>
          <w:spacing w:val="-6"/>
        </w:rPr>
        <w:t> </w:t>
      </w:r>
      <w:r>
        <w:rPr/>
        <w:t>the</w:t>
      </w:r>
      <w:r>
        <w:rPr>
          <w:spacing w:val="-5"/>
        </w:rPr>
        <w:t> </w:t>
      </w:r>
      <w:r>
        <w:rPr/>
        <w:t>derma</w:t>
      </w:r>
      <w:r>
        <w:rPr>
          <w:spacing w:val="-5"/>
        </w:rPr>
        <w:t> </w:t>
      </w:r>
      <w:r>
        <w:rPr/>
        <w:t>and</w:t>
      </w:r>
      <w:r>
        <w:rPr>
          <w:spacing w:val="-5"/>
        </w:rPr>
        <w:t> </w:t>
      </w:r>
      <w:r>
        <w:rPr/>
        <w:t>the</w:t>
      </w:r>
      <w:r>
        <w:rPr>
          <w:spacing w:val="-6"/>
        </w:rPr>
        <w:t> </w:t>
      </w:r>
      <w:r>
        <w:rPr/>
        <w:t>different</w:t>
      </w:r>
      <w:r>
        <w:rPr>
          <w:spacing w:val="-5"/>
        </w:rPr>
        <w:t> </w:t>
      </w:r>
      <w:r>
        <w:rPr/>
        <w:t>structures</w:t>
      </w:r>
      <w:r>
        <w:rPr>
          <w:spacing w:val="-6"/>
        </w:rPr>
        <w:t> </w:t>
      </w:r>
      <w:r>
        <w:rPr/>
        <w:t>in</w:t>
      </w:r>
      <w:r>
        <w:rPr>
          <w:spacing w:val="-6"/>
        </w:rPr>
        <w:t> </w:t>
      </w:r>
      <w:r>
        <w:rPr/>
        <w:t>it.</w:t>
      </w:r>
      <w:r>
        <w:rPr>
          <w:spacing w:val="-6"/>
        </w:rPr>
        <w:t> </w:t>
      </w:r>
      <w:r>
        <w:rPr/>
        <w:t>The</w:t>
      </w:r>
      <w:r>
        <w:rPr>
          <w:spacing w:val="-6"/>
        </w:rPr>
        <w:t> </w:t>
      </w:r>
      <w:r>
        <w:rPr/>
        <w:t>study</w:t>
      </w:r>
      <w:r>
        <w:rPr>
          <w:spacing w:val="-5"/>
        </w:rPr>
        <w:t> </w:t>
      </w:r>
      <w:r>
        <w:rPr/>
        <w:t>is</w:t>
      </w:r>
      <w:r>
        <w:rPr>
          <w:spacing w:val="-7"/>
        </w:rPr>
        <w:t> </w:t>
      </w:r>
      <w:r>
        <w:rPr/>
        <w:t>completed</w:t>
      </w:r>
      <w:r>
        <w:rPr>
          <w:spacing w:val="-5"/>
        </w:rPr>
        <w:t> </w:t>
      </w:r>
      <w:r>
        <w:rPr/>
        <w:t>with</w:t>
      </w:r>
      <w:r>
        <w:rPr>
          <w:spacing w:val="-6"/>
        </w:rPr>
        <w:t> </w:t>
      </w:r>
      <w:r>
        <w:rPr/>
        <w:t>laboratory</w:t>
      </w:r>
      <w:r>
        <w:rPr>
          <w:spacing w:val="-5"/>
        </w:rPr>
        <w:t> </w:t>
      </w:r>
      <w:r>
        <w:rPr/>
        <w:t>analyses</w:t>
      </w:r>
      <w:r>
        <w:rPr>
          <w:spacing w:val="-6"/>
        </w:rPr>
        <w:t> </w:t>
      </w:r>
      <w:r>
        <w:rPr/>
        <w:t>that</w:t>
      </w:r>
    </w:p>
    <w:p>
      <w:pPr>
        <w:spacing w:after="0" w:line="480" w:lineRule="auto"/>
        <w:jc w:val="both"/>
        <w:sectPr>
          <w:pgSz w:w="11910" w:h="16840"/>
          <w:pgMar w:header="0" w:footer="367" w:top="1320" w:bottom="560" w:left="20" w:right="1020"/>
        </w:sectPr>
      </w:pPr>
    </w:p>
    <w:p>
      <w:pPr>
        <w:pStyle w:val="BodyText"/>
        <w:spacing w:line="480" w:lineRule="auto" w:before="75"/>
        <w:ind w:left="1114" w:right="100"/>
      </w:pPr>
      <w:r>
        <w:rPr/>
        <w:t>inquire precisely physical and mechanical proprieties of the filler, making clear the final proprieties of the product starting from the elements that compose itself.</w:t>
      </w:r>
    </w:p>
    <w:p>
      <w:pPr>
        <w:pStyle w:val="BodyText"/>
        <w:rPr>
          <w:sz w:val="26"/>
        </w:rPr>
      </w:pPr>
    </w:p>
    <w:p>
      <w:pPr>
        <w:pStyle w:val="BodyText"/>
        <w:spacing w:before="9"/>
        <w:rPr>
          <w:sz w:val="25"/>
        </w:rPr>
      </w:pPr>
    </w:p>
    <w:p>
      <w:pPr>
        <w:pStyle w:val="Heading1"/>
        <w:ind w:left="1113"/>
      </w:pPr>
      <w:r>
        <w:rPr/>
        <w:drawing>
          <wp:anchor distT="0" distB="0" distL="0" distR="0" allowOverlap="1" layoutInCell="1" locked="0" behindDoc="0" simplePos="0" relativeHeight="15736320">
            <wp:simplePos x="0" y="0"/>
            <wp:positionH relativeFrom="page">
              <wp:posOffset>12700</wp:posOffset>
            </wp:positionH>
            <wp:positionV relativeFrom="paragraph">
              <wp:posOffset>251880</wp:posOffset>
            </wp:positionV>
            <wp:extent cx="876172" cy="6234938"/>
            <wp:effectExtent l="0" t="0" r="0" b="0"/>
            <wp:wrapNone/>
            <wp:docPr id="29" name="image1.png"/>
            <wp:cNvGraphicFramePr>
              <a:graphicFrameLocks noChangeAspect="1"/>
            </wp:cNvGraphicFramePr>
            <a:graphic>
              <a:graphicData uri="http://schemas.openxmlformats.org/drawingml/2006/picture">
                <pic:pic>
                  <pic:nvPicPr>
                    <pic:cNvPr id="30" name="image1.png"/>
                    <pic:cNvPicPr/>
                  </pic:nvPicPr>
                  <pic:blipFill>
                    <a:blip r:embed="rId6" cstate="print"/>
                    <a:stretch>
                      <a:fillRect/>
                    </a:stretch>
                  </pic:blipFill>
                  <pic:spPr>
                    <a:xfrm>
                      <a:off x="0" y="0"/>
                      <a:ext cx="876172" cy="6234938"/>
                    </a:xfrm>
                    <a:prstGeom prst="rect">
                      <a:avLst/>
                    </a:prstGeom>
                  </pic:spPr>
                </pic:pic>
              </a:graphicData>
            </a:graphic>
          </wp:anchor>
        </w:drawing>
      </w:r>
      <w:bookmarkStart w:name="CONCLUSIONS" w:id="7"/>
      <w:bookmarkEnd w:id="7"/>
      <w:r>
        <w:rPr>
          <w:b w:val="0"/>
        </w:rPr>
      </w:r>
      <w:r>
        <w:rPr/>
        <w:t>CONCLUSIONS</w:t>
      </w:r>
    </w:p>
    <w:p>
      <w:pPr>
        <w:pStyle w:val="BodyText"/>
        <w:spacing w:before="8"/>
        <w:rPr>
          <w:b/>
          <w:sz w:val="23"/>
        </w:rPr>
      </w:pPr>
    </w:p>
    <w:p>
      <w:pPr>
        <w:pStyle w:val="BodyText"/>
        <w:spacing w:line="480" w:lineRule="auto"/>
        <w:ind w:left="1113" w:right="100"/>
      </w:pPr>
      <w:r>
        <w:rPr/>
        <w:t>The ideal properties that a filler should have to ensure optimal patient outcome include several different features: the ability to restore volume, the ease of injection, the hypo allergenicity, the malleability, the reversibility of treatment, the duration of the injected product, the security, the natural appearance, the minimal discomfort of the patient and the minimum patient inactivity time. In our study, there are clinical evidence of a low discomfort for the patience during the injection and in post-treatment thanks to the excellent characteristics of plasticity and extricability of the PEG crosslinked hydrogel. The non-toxicity and non-immunogenicity of the PEG guarantee the lack of side allergic and immunological effect.</w:t>
      </w:r>
    </w:p>
    <w:p>
      <w:pPr>
        <w:pStyle w:val="BodyText"/>
        <w:spacing w:line="480" w:lineRule="auto"/>
        <w:ind w:left="1113" w:right="111"/>
        <w:jc w:val="both"/>
      </w:pPr>
      <w:r>
        <w:rPr/>
        <w:t>At the same time a high duration time of the hydrogel is guarantee by the new crosslinking method and the PEG structure; it results in a more solid and more resistant to physiological degradation product.</w:t>
      </w:r>
      <w:r>
        <w:rPr>
          <w:spacing w:val="-10"/>
        </w:rPr>
        <w:t> </w:t>
      </w:r>
      <w:r>
        <w:rPr/>
        <w:t>We</w:t>
      </w:r>
      <w:r>
        <w:rPr>
          <w:spacing w:val="-8"/>
        </w:rPr>
        <w:t> </w:t>
      </w:r>
      <w:r>
        <w:rPr/>
        <w:t>had</w:t>
      </w:r>
      <w:r>
        <w:rPr>
          <w:spacing w:val="-9"/>
        </w:rPr>
        <w:t> </w:t>
      </w:r>
      <w:r>
        <w:rPr/>
        <w:t>evidence</w:t>
      </w:r>
      <w:r>
        <w:rPr>
          <w:spacing w:val="-8"/>
        </w:rPr>
        <w:t> </w:t>
      </w:r>
      <w:r>
        <w:rPr/>
        <w:t>of</w:t>
      </w:r>
      <w:r>
        <w:rPr>
          <w:spacing w:val="-9"/>
        </w:rPr>
        <w:t> </w:t>
      </w:r>
      <w:r>
        <w:rPr/>
        <w:t>a</w:t>
      </w:r>
      <w:r>
        <w:rPr>
          <w:spacing w:val="-8"/>
        </w:rPr>
        <w:t> </w:t>
      </w:r>
      <w:r>
        <w:rPr/>
        <w:t>duration</w:t>
      </w:r>
      <w:r>
        <w:rPr>
          <w:spacing w:val="-10"/>
        </w:rPr>
        <w:t> </w:t>
      </w:r>
      <w:r>
        <w:rPr/>
        <w:t>of</w:t>
      </w:r>
      <w:r>
        <w:rPr>
          <w:spacing w:val="-8"/>
        </w:rPr>
        <w:t> </w:t>
      </w:r>
      <w:r>
        <w:rPr/>
        <w:t>more</w:t>
      </w:r>
      <w:r>
        <w:rPr>
          <w:spacing w:val="-8"/>
        </w:rPr>
        <w:t> </w:t>
      </w:r>
      <w:r>
        <w:rPr/>
        <w:t>than</w:t>
      </w:r>
      <w:r>
        <w:rPr>
          <w:spacing w:val="-9"/>
        </w:rPr>
        <w:t> </w:t>
      </w:r>
      <w:r>
        <w:rPr/>
        <w:t>eight</w:t>
      </w:r>
      <w:r>
        <w:rPr>
          <w:spacing w:val="-8"/>
        </w:rPr>
        <w:t> </w:t>
      </w:r>
      <w:r>
        <w:rPr/>
        <w:t>months</w:t>
      </w:r>
      <w:r>
        <w:rPr>
          <w:spacing w:val="-8"/>
        </w:rPr>
        <w:t> </w:t>
      </w:r>
      <w:r>
        <w:rPr/>
        <w:t>in</w:t>
      </w:r>
      <w:r>
        <w:rPr>
          <w:spacing w:val="-11"/>
        </w:rPr>
        <w:t> </w:t>
      </w:r>
      <w:r>
        <w:rPr/>
        <w:t>the</w:t>
      </w:r>
      <w:r>
        <w:rPr>
          <w:spacing w:val="-10"/>
        </w:rPr>
        <w:t> </w:t>
      </w:r>
      <w:r>
        <w:rPr/>
        <w:t>hypodermic</w:t>
      </w:r>
      <w:r>
        <w:rPr>
          <w:spacing w:val="-8"/>
        </w:rPr>
        <w:t> </w:t>
      </w:r>
      <w:r>
        <w:rPr/>
        <w:t>tissue,</w:t>
      </w:r>
      <w:r>
        <w:rPr>
          <w:spacing w:val="-10"/>
        </w:rPr>
        <w:t> </w:t>
      </w:r>
      <w:r>
        <w:rPr/>
        <w:t>although in general, it would not be expected that the gel will stay for periods over several</w:t>
      </w:r>
      <w:r>
        <w:rPr>
          <w:spacing w:val="-11"/>
        </w:rPr>
        <w:t> </w:t>
      </w:r>
      <w:r>
        <w:rPr/>
        <w:t>months.</w:t>
      </w:r>
    </w:p>
    <w:p>
      <w:pPr>
        <w:pStyle w:val="BodyText"/>
        <w:spacing w:line="480" w:lineRule="auto" w:before="1"/>
        <w:ind w:left="1113" w:right="112"/>
        <w:jc w:val="both"/>
      </w:pPr>
      <w:r>
        <w:rPr/>
        <w:t>This new class of hydrogel, thanks to its peculiar chemical and mechanical characteristics, marked biocompatibility and bio integration, becomes eligible for use as real scaffolds in the reconstructive treatment of dermal soft tissue defects.</w:t>
      </w:r>
    </w:p>
    <w:p>
      <w:pPr>
        <w:spacing w:after="0" w:line="480" w:lineRule="auto"/>
        <w:jc w:val="both"/>
        <w:sectPr>
          <w:pgSz w:w="11910" w:h="16840"/>
          <w:pgMar w:header="0" w:footer="367" w:top="1320" w:bottom="560" w:left="20" w:right="1020"/>
        </w:sectPr>
      </w:pPr>
    </w:p>
    <w:p>
      <w:pPr>
        <w:pStyle w:val="Heading1"/>
        <w:spacing w:before="79"/>
      </w:pPr>
      <w:bookmarkStart w:name="ACKNOWLWDGMENTS" w:id="8"/>
      <w:bookmarkEnd w:id="8"/>
      <w:r>
        <w:rPr>
          <w:b w:val="0"/>
        </w:rPr>
      </w:r>
      <w:r>
        <w:rPr/>
        <w:t>ACKNOWLWDGMENTS</w:t>
      </w:r>
    </w:p>
    <w:p>
      <w:pPr>
        <w:pStyle w:val="BodyText"/>
        <w:spacing w:before="8"/>
        <w:rPr>
          <w:b/>
          <w:sz w:val="23"/>
        </w:rPr>
      </w:pPr>
    </w:p>
    <w:p>
      <w:pPr>
        <w:pStyle w:val="BodyText"/>
        <w:ind w:left="1114"/>
      </w:pPr>
      <w:r>
        <w:rPr/>
        <w:t>Funding:</w:t>
      </w:r>
    </w:p>
    <w:p>
      <w:pPr>
        <w:pStyle w:val="BodyText"/>
      </w:pPr>
    </w:p>
    <w:p>
      <w:pPr>
        <w:pStyle w:val="BodyText"/>
        <w:spacing w:line="480" w:lineRule="auto"/>
        <w:ind w:left="1114"/>
      </w:pPr>
      <w:r>
        <w:rPr/>
        <w:drawing>
          <wp:anchor distT="0" distB="0" distL="0" distR="0" allowOverlap="1" layoutInCell="1" locked="0" behindDoc="0" simplePos="0" relativeHeight="15736832">
            <wp:simplePos x="0" y="0"/>
            <wp:positionH relativeFrom="page">
              <wp:posOffset>12700</wp:posOffset>
            </wp:positionH>
            <wp:positionV relativeFrom="paragraph">
              <wp:posOffset>629832</wp:posOffset>
            </wp:positionV>
            <wp:extent cx="876172" cy="6234938"/>
            <wp:effectExtent l="0" t="0" r="0" b="0"/>
            <wp:wrapNone/>
            <wp:docPr id="31" name="image1.png"/>
            <wp:cNvGraphicFramePr>
              <a:graphicFrameLocks noChangeAspect="1"/>
            </wp:cNvGraphicFramePr>
            <a:graphic>
              <a:graphicData uri="http://schemas.openxmlformats.org/drawingml/2006/picture">
                <pic:pic>
                  <pic:nvPicPr>
                    <pic:cNvPr id="32" name="image1.png"/>
                    <pic:cNvPicPr/>
                  </pic:nvPicPr>
                  <pic:blipFill>
                    <a:blip r:embed="rId6" cstate="print"/>
                    <a:stretch>
                      <a:fillRect/>
                    </a:stretch>
                  </pic:blipFill>
                  <pic:spPr>
                    <a:xfrm>
                      <a:off x="0" y="0"/>
                      <a:ext cx="876172" cy="6234938"/>
                    </a:xfrm>
                    <a:prstGeom prst="rect">
                      <a:avLst/>
                    </a:prstGeom>
                  </pic:spPr>
                </pic:pic>
              </a:graphicData>
            </a:graphic>
          </wp:anchor>
        </w:drawing>
      </w:r>
      <w:r>
        <w:rPr/>
        <w:t>The research was supported by Matex Lax spa. No funding or sponsorship was received for the publication of this article. The article processing charges were funded by the authors.</w:t>
      </w:r>
    </w:p>
    <w:p>
      <w:pPr>
        <w:pStyle w:val="BodyText"/>
        <w:ind w:left="1113"/>
      </w:pPr>
      <w:r>
        <w:rPr/>
        <w:t>Authorship:</w:t>
      </w:r>
    </w:p>
    <w:p>
      <w:pPr>
        <w:pStyle w:val="BodyText"/>
      </w:pPr>
    </w:p>
    <w:p>
      <w:pPr>
        <w:pStyle w:val="BodyText"/>
        <w:spacing w:line="480" w:lineRule="auto"/>
        <w:ind w:left="1113" w:right="114"/>
        <w:jc w:val="both"/>
      </w:pPr>
      <w:r>
        <w:rPr/>
        <w:t>All authors had full access to all of the data in this study and take complete responsibility for the integrity of the data and accuracy of the data analysis.</w:t>
      </w:r>
    </w:p>
    <w:p>
      <w:pPr>
        <w:pStyle w:val="BodyText"/>
        <w:spacing w:line="480" w:lineRule="auto"/>
        <w:ind w:left="1113" w:right="112"/>
        <w:jc w:val="both"/>
      </w:pPr>
      <w:r>
        <w:rPr/>
        <w:t>The authors approved the final version to be published after critically revising the manuscript for important intellectual content. All named authors meet the International Committee of Medical Journal Editors (ICMJE) criteria for authorship for this article, take responsibility for the integrity of the work as a whole, and have given final approval to the version to be published.</w:t>
      </w:r>
    </w:p>
    <w:p>
      <w:pPr>
        <w:pStyle w:val="BodyText"/>
        <w:spacing w:line="275" w:lineRule="exact"/>
        <w:ind w:left="1113"/>
      </w:pPr>
      <w:r>
        <w:rPr/>
        <w:t>Disclosures:</w:t>
      </w:r>
    </w:p>
    <w:p>
      <w:pPr>
        <w:pStyle w:val="BodyText"/>
        <w:spacing w:before="2"/>
      </w:pPr>
    </w:p>
    <w:p>
      <w:pPr>
        <w:pStyle w:val="Heading1"/>
        <w:spacing w:before="1"/>
        <w:ind w:left="1113"/>
      </w:pPr>
      <w:r>
        <w:rPr/>
        <w:t>The authors declare that they have no conflict of interest.</w:t>
      </w:r>
    </w:p>
    <w:p>
      <w:pPr>
        <w:pStyle w:val="BodyText"/>
        <w:spacing w:before="8"/>
        <w:rPr>
          <w:b/>
          <w:sz w:val="23"/>
        </w:rPr>
      </w:pPr>
    </w:p>
    <w:p>
      <w:pPr>
        <w:pStyle w:val="BodyText"/>
        <w:spacing w:before="1"/>
        <w:ind w:left="1113"/>
      </w:pPr>
      <w:r>
        <w:rPr/>
        <w:t>Compliance with ethic guidelines:</w:t>
      </w:r>
    </w:p>
    <w:p>
      <w:pPr>
        <w:pStyle w:val="BodyText"/>
      </w:pPr>
    </w:p>
    <w:p>
      <w:pPr>
        <w:pStyle w:val="BodyText"/>
        <w:spacing w:line="480" w:lineRule="auto"/>
        <w:ind w:left="1113" w:right="433"/>
      </w:pPr>
      <w:r>
        <w:rPr/>
        <w:t>All procedures performed in studies involving human participants were in accordance with the ethical standards of the institutional and/or national research committee and with the 1964 Helsinki declaration and its later amendments or comparable ethical standards. Informed consent was obtained from all individual participants included in the study.</w:t>
      </w:r>
    </w:p>
    <w:p>
      <w:pPr>
        <w:pStyle w:val="BodyText"/>
        <w:ind w:left="1113"/>
      </w:pPr>
      <w:r>
        <w:rPr/>
        <w:t>Data availability:</w:t>
      </w:r>
    </w:p>
    <w:p>
      <w:pPr>
        <w:pStyle w:val="BodyText"/>
      </w:pPr>
    </w:p>
    <w:p>
      <w:pPr>
        <w:pStyle w:val="BodyText"/>
        <w:ind w:left="1114"/>
      </w:pPr>
      <w:r>
        <w:rPr/>
        <w:t>All data generated or analysed during this study are included in this published article.</w:t>
      </w:r>
    </w:p>
    <w:p>
      <w:pPr>
        <w:spacing w:after="0"/>
        <w:sectPr>
          <w:pgSz w:w="11910" w:h="16840"/>
          <w:pgMar w:header="0" w:footer="367" w:top="1320" w:bottom="560" w:left="20" w:right="1020"/>
        </w:sectPr>
      </w:pPr>
    </w:p>
    <w:p>
      <w:pPr>
        <w:pStyle w:val="Heading1"/>
        <w:spacing w:before="79"/>
      </w:pPr>
      <w:bookmarkStart w:name="REFERENCES" w:id="9"/>
      <w:bookmarkEnd w:id="9"/>
      <w:r>
        <w:rPr>
          <w:b w:val="0"/>
        </w:rPr>
      </w:r>
      <w:r>
        <w:rPr/>
        <w:t>REFERENCES</w:t>
      </w:r>
    </w:p>
    <w:p>
      <w:pPr>
        <w:pStyle w:val="BodyText"/>
        <w:spacing w:before="8"/>
        <w:rPr>
          <w:b/>
          <w:sz w:val="23"/>
        </w:rPr>
      </w:pPr>
    </w:p>
    <w:p>
      <w:pPr>
        <w:pStyle w:val="ListParagraph"/>
        <w:numPr>
          <w:ilvl w:val="0"/>
          <w:numId w:val="2"/>
        </w:numPr>
        <w:tabs>
          <w:tab w:pos="1354" w:val="left" w:leader="none"/>
        </w:tabs>
        <w:spacing w:line="480" w:lineRule="auto" w:before="0" w:after="0"/>
        <w:ind w:left="1497" w:right="299" w:hanging="384"/>
        <w:jc w:val="left"/>
        <w:rPr>
          <w:sz w:val="24"/>
        </w:rPr>
      </w:pPr>
      <w:r>
        <w:rPr>
          <w:sz w:val="24"/>
        </w:rPr>
        <w:t>Siliprandi, N. &amp; Tettamanti, G. </w:t>
      </w:r>
      <w:r>
        <w:rPr>
          <w:i/>
          <w:sz w:val="24"/>
        </w:rPr>
        <w:t>Biochimica medica strutturale metabolica e funzionale</w:t>
      </w:r>
      <w:r>
        <w:rPr>
          <w:sz w:val="24"/>
        </w:rPr>
        <w:t>. (Piccin- Nuova Libraria,</w:t>
      </w:r>
      <w:r>
        <w:rPr>
          <w:spacing w:val="-1"/>
          <w:sz w:val="24"/>
        </w:rPr>
        <w:t> </w:t>
      </w:r>
      <w:r>
        <w:rPr>
          <w:sz w:val="24"/>
        </w:rPr>
        <w:t>2011).</w:t>
      </w:r>
    </w:p>
    <w:p>
      <w:pPr>
        <w:pStyle w:val="ListParagraph"/>
        <w:numPr>
          <w:ilvl w:val="0"/>
          <w:numId w:val="2"/>
        </w:numPr>
        <w:tabs>
          <w:tab w:pos="1354" w:val="left" w:leader="none"/>
        </w:tabs>
        <w:spacing w:line="240" w:lineRule="auto" w:before="0" w:after="0"/>
        <w:ind w:left="1354" w:right="0" w:hanging="241"/>
        <w:jc w:val="left"/>
        <w:rPr>
          <w:sz w:val="24"/>
        </w:rPr>
      </w:pPr>
      <w:hyperlink r:id="rId24">
        <w:r>
          <w:rPr>
            <w:sz w:val="24"/>
            <w:u w:val="single"/>
          </w:rPr>
          <w:t>Fraser JR</w:t>
        </w:r>
      </w:hyperlink>
      <w:r>
        <w:rPr>
          <w:sz w:val="24"/>
        </w:rPr>
        <w:t>,</w:t>
      </w:r>
      <w:hyperlink r:id="rId25">
        <w:r>
          <w:rPr>
            <w:sz w:val="24"/>
          </w:rPr>
          <w:t> </w:t>
        </w:r>
        <w:r>
          <w:rPr>
            <w:sz w:val="24"/>
            <w:u w:val="single"/>
          </w:rPr>
          <w:t>Laurent TC</w:t>
        </w:r>
        <w:r>
          <w:rPr>
            <w:sz w:val="24"/>
          </w:rPr>
          <w:t>,</w:t>
        </w:r>
      </w:hyperlink>
      <w:hyperlink r:id="rId26">
        <w:r>
          <w:rPr>
            <w:sz w:val="24"/>
          </w:rPr>
          <w:t> </w:t>
        </w:r>
        <w:r>
          <w:rPr>
            <w:sz w:val="24"/>
            <w:u w:val="single"/>
          </w:rPr>
          <w:t>Laurent UB</w:t>
        </w:r>
        <w:r>
          <w:rPr>
            <w:sz w:val="24"/>
          </w:rPr>
          <w:t>.</w:t>
        </w:r>
      </w:hyperlink>
      <w:r>
        <w:rPr>
          <w:sz w:val="24"/>
        </w:rPr>
        <w:t> Hyaluronan: its nature, distribution, functions and</w:t>
      </w:r>
      <w:r>
        <w:rPr>
          <w:spacing w:val="-20"/>
          <w:sz w:val="24"/>
        </w:rPr>
        <w:t> </w:t>
      </w:r>
      <w:r>
        <w:rPr>
          <w:sz w:val="24"/>
        </w:rPr>
        <w:t>turnover.</w:t>
      </w:r>
    </w:p>
    <w:p>
      <w:pPr>
        <w:pStyle w:val="BodyText"/>
        <w:spacing w:before="2"/>
        <w:rPr>
          <w:sz w:val="16"/>
        </w:rPr>
      </w:pPr>
    </w:p>
    <w:p>
      <w:pPr>
        <w:pStyle w:val="BodyText"/>
        <w:spacing w:before="90"/>
        <w:ind w:left="1498"/>
      </w:pPr>
      <w:r>
        <w:rPr/>
        <w:drawing>
          <wp:anchor distT="0" distB="0" distL="0" distR="0" allowOverlap="1" layoutInCell="1" locked="0" behindDoc="0" simplePos="0" relativeHeight="15737344">
            <wp:simplePos x="0" y="0"/>
            <wp:positionH relativeFrom="page">
              <wp:posOffset>12700</wp:posOffset>
            </wp:positionH>
            <wp:positionV relativeFrom="paragraph">
              <wp:posOffset>-14057</wp:posOffset>
            </wp:positionV>
            <wp:extent cx="876172" cy="6234938"/>
            <wp:effectExtent l="0" t="0" r="0" b="0"/>
            <wp:wrapNone/>
            <wp:docPr id="33" name="image1.png"/>
            <wp:cNvGraphicFramePr>
              <a:graphicFrameLocks noChangeAspect="1"/>
            </wp:cNvGraphicFramePr>
            <a:graphic>
              <a:graphicData uri="http://schemas.openxmlformats.org/drawingml/2006/picture">
                <pic:pic>
                  <pic:nvPicPr>
                    <pic:cNvPr id="34" name="image1.png"/>
                    <pic:cNvPicPr/>
                  </pic:nvPicPr>
                  <pic:blipFill>
                    <a:blip r:embed="rId6" cstate="print"/>
                    <a:stretch>
                      <a:fillRect/>
                    </a:stretch>
                  </pic:blipFill>
                  <pic:spPr>
                    <a:xfrm>
                      <a:off x="0" y="0"/>
                      <a:ext cx="876172" cy="6234938"/>
                    </a:xfrm>
                    <a:prstGeom prst="rect">
                      <a:avLst/>
                    </a:prstGeom>
                  </pic:spPr>
                </pic:pic>
              </a:graphicData>
            </a:graphic>
          </wp:anchor>
        </w:drawing>
      </w:r>
      <w:r>
        <w:rPr/>
        <w:t>J Intern Med 1997; 242(1):27-33.</w:t>
      </w:r>
    </w:p>
    <w:p>
      <w:pPr>
        <w:pStyle w:val="BodyText"/>
      </w:pPr>
    </w:p>
    <w:p>
      <w:pPr>
        <w:pStyle w:val="ListParagraph"/>
        <w:numPr>
          <w:ilvl w:val="0"/>
          <w:numId w:val="2"/>
        </w:numPr>
        <w:tabs>
          <w:tab w:pos="1354" w:val="left" w:leader="none"/>
        </w:tabs>
        <w:spacing w:line="240" w:lineRule="auto" w:before="0" w:after="0"/>
        <w:ind w:left="1354" w:right="0" w:hanging="240"/>
        <w:jc w:val="left"/>
        <w:rPr>
          <w:sz w:val="24"/>
        </w:rPr>
      </w:pPr>
      <w:hyperlink r:id="rId27">
        <w:r>
          <w:rPr>
            <w:sz w:val="24"/>
            <w:u w:val="single"/>
          </w:rPr>
          <w:t>Laurent TC</w:t>
        </w:r>
        <w:r>
          <w:rPr>
            <w:sz w:val="24"/>
          </w:rPr>
          <w:t>,</w:t>
        </w:r>
      </w:hyperlink>
      <w:hyperlink r:id="rId28">
        <w:r>
          <w:rPr>
            <w:sz w:val="24"/>
          </w:rPr>
          <w:t> </w:t>
        </w:r>
        <w:r>
          <w:rPr>
            <w:sz w:val="24"/>
            <w:u w:val="single"/>
          </w:rPr>
          <w:t>Fraser JR</w:t>
        </w:r>
        <w:r>
          <w:rPr>
            <w:sz w:val="24"/>
          </w:rPr>
          <w:t>.</w:t>
        </w:r>
      </w:hyperlink>
      <w:r>
        <w:rPr>
          <w:sz w:val="24"/>
        </w:rPr>
        <w:t> Hyaluronan. FASEB J 1992;</w:t>
      </w:r>
      <w:r>
        <w:rPr>
          <w:spacing w:val="-3"/>
          <w:sz w:val="24"/>
        </w:rPr>
        <w:t> </w:t>
      </w:r>
      <w:r>
        <w:rPr>
          <w:sz w:val="24"/>
        </w:rPr>
        <w:t>6(7):2397-404.</w:t>
      </w:r>
    </w:p>
    <w:p>
      <w:pPr>
        <w:pStyle w:val="BodyText"/>
        <w:spacing w:before="2"/>
        <w:rPr>
          <w:sz w:val="16"/>
        </w:rPr>
      </w:pPr>
    </w:p>
    <w:p>
      <w:pPr>
        <w:pStyle w:val="ListParagraph"/>
        <w:numPr>
          <w:ilvl w:val="0"/>
          <w:numId w:val="2"/>
        </w:numPr>
        <w:tabs>
          <w:tab w:pos="1354" w:val="left" w:leader="none"/>
        </w:tabs>
        <w:spacing w:line="480" w:lineRule="auto" w:before="90" w:after="0"/>
        <w:ind w:left="1498" w:right="1028" w:hanging="384"/>
        <w:jc w:val="left"/>
        <w:rPr>
          <w:sz w:val="24"/>
        </w:rPr>
      </w:pPr>
      <w:hyperlink r:id="rId29">
        <w:r>
          <w:rPr>
            <w:sz w:val="24"/>
          </w:rPr>
          <w:t>Viola M</w:t>
        </w:r>
      </w:hyperlink>
      <w:r>
        <w:rPr>
          <w:sz w:val="24"/>
        </w:rPr>
        <w:t>, </w:t>
      </w:r>
      <w:hyperlink r:id="rId30">
        <w:r>
          <w:rPr>
            <w:sz w:val="24"/>
          </w:rPr>
          <w:t>Vigetti D,</w:t>
        </w:r>
      </w:hyperlink>
      <w:r>
        <w:rPr>
          <w:sz w:val="24"/>
        </w:rPr>
        <w:t> </w:t>
      </w:r>
      <w:hyperlink r:id="rId31">
        <w:r>
          <w:rPr>
            <w:sz w:val="24"/>
          </w:rPr>
          <w:t>Karousou E</w:t>
        </w:r>
      </w:hyperlink>
      <w:r>
        <w:rPr>
          <w:sz w:val="24"/>
        </w:rPr>
        <w:t>, </w:t>
      </w:r>
      <w:hyperlink r:id="rId32">
        <w:r>
          <w:rPr>
            <w:sz w:val="24"/>
          </w:rPr>
          <w:t>D'Angelo ML,</w:t>
        </w:r>
      </w:hyperlink>
      <w:r>
        <w:rPr>
          <w:sz w:val="24"/>
        </w:rPr>
        <w:t> </w:t>
      </w:r>
      <w:hyperlink r:id="rId33">
        <w:r>
          <w:rPr>
            <w:sz w:val="24"/>
          </w:rPr>
          <w:t>Caon I,</w:t>
        </w:r>
      </w:hyperlink>
      <w:r>
        <w:rPr>
          <w:sz w:val="24"/>
        </w:rPr>
        <w:t> </w:t>
      </w:r>
      <w:hyperlink r:id="rId34">
        <w:r>
          <w:rPr>
            <w:sz w:val="24"/>
          </w:rPr>
          <w:t>Moretto P,</w:t>
        </w:r>
      </w:hyperlink>
      <w:r>
        <w:rPr>
          <w:sz w:val="24"/>
        </w:rPr>
        <w:t> </w:t>
      </w:r>
      <w:hyperlink r:id="rId35">
        <w:r>
          <w:rPr>
            <w:sz w:val="24"/>
          </w:rPr>
          <w:t>De Luca G,</w:t>
        </w:r>
      </w:hyperlink>
      <w:r>
        <w:rPr>
          <w:sz w:val="24"/>
        </w:rPr>
        <w:t> </w:t>
      </w:r>
      <w:hyperlink r:id="rId36">
        <w:r>
          <w:rPr>
            <w:sz w:val="24"/>
          </w:rPr>
          <w:t>Passi A.</w:t>
        </w:r>
      </w:hyperlink>
      <w:r>
        <w:rPr>
          <w:sz w:val="24"/>
        </w:rPr>
        <w:t> Biology and biotechnology of hyaluronan. Glycoconj J 2015;</w:t>
      </w:r>
      <w:r>
        <w:rPr>
          <w:spacing w:val="-7"/>
          <w:sz w:val="24"/>
        </w:rPr>
        <w:t> </w:t>
      </w:r>
      <w:r>
        <w:rPr>
          <w:sz w:val="24"/>
        </w:rPr>
        <w:t>32(3-4):93-103.</w:t>
      </w:r>
    </w:p>
    <w:p>
      <w:pPr>
        <w:pStyle w:val="ListParagraph"/>
        <w:numPr>
          <w:ilvl w:val="0"/>
          <w:numId w:val="2"/>
        </w:numPr>
        <w:tabs>
          <w:tab w:pos="1354" w:val="left" w:leader="none"/>
        </w:tabs>
        <w:spacing w:line="480" w:lineRule="auto" w:before="0" w:after="0"/>
        <w:ind w:left="1497" w:right="159" w:hanging="384"/>
        <w:jc w:val="left"/>
        <w:rPr>
          <w:sz w:val="24"/>
        </w:rPr>
      </w:pPr>
      <w:r>
        <w:rPr>
          <w:sz w:val="24"/>
        </w:rPr>
        <w:t>Lee JY, Spicer AP. Hyaluronan: a multifunctional, megaDalton, stealth molecule. Curr Opin Cell Biol 2000;</w:t>
      </w:r>
      <w:r>
        <w:rPr>
          <w:spacing w:val="-1"/>
          <w:sz w:val="24"/>
        </w:rPr>
        <w:t> </w:t>
      </w:r>
      <w:r>
        <w:rPr>
          <w:sz w:val="24"/>
        </w:rPr>
        <w:t>12(5):581-6.</w:t>
      </w:r>
    </w:p>
    <w:p>
      <w:pPr>
        <w:pStyle w:val="ListParagraph"/>
        <w:numPr>
          <w:ilvl w:val="0"/>
          <w:numId w:val="2"/>
        </w:numPr>
        <w:tabs>
          <w:tab w:pos="1354" w:val="left" w:leader="none"/>
        </w:tabs>
        <w:spacing w:line="480" w:lineRule="auto" w:before="0" w:after="0"/>
        <w:ind w:left="1497" w:right="638" w:hanging="384"/>
        <w:jc w:val="left"/>
        <w:rPr>
          <w:sz w:val="24"/>
        </w:rPr>
      </w:pPr>
      <w:r>
        <w:rPr>
          <w:sz w:val="24"/>
        </w:rPr>
        <w:t>Vigetti D, Clerici M, Deleonibus S, et al. Hyaluronan synthesis is inhibited by adenosine monophosphate-activated protein kinase through the regulation of HAS2 activity in human aortic smooth muscle cells. J Biol Chem 2011;</w:t>
      </w:r>
      <w:r>
        <w:rPr>
          <w:spacing w:val="-3"/>
          <w:sz w:val="24"/>
        </w:rPr>
        <w:t> </w:t>
      </w:r>
      <w:r>
        <w:rPr>
          <w:sz w:val="24"/>
        </w:rPr>
        <w:t>286(10):7917-24.</w:t>
      </w:r>
    </w:p>
    <w:p>
      <w:pPr>
        <w:pStyle w:val="ListParagraph"/>
        <w:numPr>
          <w:ilvl w:val="0"/>
          <w:numId w:val="2"/>
        </w:numPr>
        <w:tabs>
          <w:tab w:pos="1354" w:val="left" w:leader="none"/>
        </w:tabs>
        <w:spacing w:line="480" w:lineRule="auto" w:before="0" w:after="0"/>
        <w:ind w:left="1497" w:right="358" w:hanging="384"/>
        <w:jc w:val="both"/>
        <w:rPr>
          <w:sz w:val="24"/>
        </w:rPr>
      </w:pPr>
      <w:r>
        <w:rPr>
          <w:sz w:val="24"/>
        </w:rPr>
        <w:t>Vigetti D, Deleonibus S, Moretto P, et al. Role of UDP-N-acetylglucosamine (GlcNAc) and O- GlcNAcylation of hyaluronan synthase 2 in the control of chondroitin sulfate and hyaluronan synthesis. J Biol Chem 2012;</w:t>
      </w:r>
      <w:r>
        <w:rPr>
          <w:spacing w:val="-4"/>
          <w:sz w:val="24"/>
        </w:rPr>
        <w:t> </w:t>
      </w:r>
      <w:r>
        <w:rPr>
          <w:sz w:val="24"/>
        </w:rPr>
        <w:t>287(42):35544-55.</w:t>
      </w:r>
    </w:p>
    <w:p>
      <w:pPr>
        <w:pStyle w:val="ListParagraph"/>
        <w:numPr>
          <w:ilvl w:val="0"/>
          <w:numId w:val="2"/>
        </w:numPr>
        <w:tabs>
          <w:tab w:pos="1354" w:val="left" w:leader="none"/>
        </w:tabs>
        <w:spacing w:line="480" w:lineRule="auto" w:before="0" w:after="0"/>
        <w:ind w:left="1497" w:right="305" w:hanging="384"/>
        <w:jc w:val="both"/>
        <w:rPr>
          <w:sz w:val="24"/>
        </w:rPr>
      </w:pPr>
      <w:r>
        <w:rPr>
          <w:sz w:val="24"/>
        </w:rPr>
        <w:t>Karousou E, Kamiryo M, Skandalis SS, et al. The activity of hyaluronan synthase 2 is regulated by dimerization and ubiquitination. J Biol Chem 2010;</w:t>
      </w:r>
      <w:r>
        <w:rPr>
          <w:spacing w:val="-7"/>
          <w:sz w:val="24"/>
        </w:rPr>
        <w:t> </w:t>
      </w:r>
      <w:r>
        <w:rPr>
          <w:sz w:val="24"/>
        </w:rPr>
        <w:t>285(31):23647-54.</w:t>
      </w:r>
    </w:p>
    <w:p>
      <w:pPr>
        <w:pStyle w:val="ListParagraph"/>
        <w:numPr>
          <w:ilvl w:val="0"/>
          <w:numId w:val="2"/>
        </w:numPr>
        <w:tabs>
          <w:tab w:pos="1354" w:val="left" w:leader="none"/>
        </w:tabs>
        <w:spacing w:line="480" w:lineRule="auto" w:before="0" w:after="0"/>
        <w:ind w:left="1497" w:right="200" w:hanging="384"/>
        <w:jc w:val="both"/>
        <w:rPr>
          <w:sz w:val="24"/>
        </w:rPr>
      </w:pPr>
      <w:r>
        <w:rPr>
          <w:sz w:val="24"/>
        </w:rPr>
        <w:t>Deen AJ, Rilla K, Oikari S, at al. Rab10-mediated endocytosis of the hyaluronan synthase HAS3 regulates hyaluronan synthesis and cell adhesion to collagen. J Biol Chem 2014; 289(12):8375- 89.</w:t>
      </w:r>
    </w:p>
    <w:p>
      <w:pPr>
        <w:spacing w:after="0" w:line="480" w:lineRule="auto"/>
        <w:jc w:val="both"/>
        <w:rPr>
          <w:sz w:val="24"/>
        </w:rPr>
        <w:sectPr>
          <w:pgSz w:w="11910" w:h="16840"/>
          <w:pgMar w:header="0" w:footer="367" w:top="1320" w:bottom="560" w:left="20" w:right="1020"/>
        </w:sectPr>
      </w:pPr>
    </w:p>
    <w:p>
      <w:pPr>
        <w:pStyle w:val="ListParagraph"/>
        <w:numPr>
          <w:ilvl w:val="0"/>
          <w:numId w:val="2"/>
        </w:numPr>
        <w:tabs>
          <w:tab w:pos="1498" w:val="left" w:leader="none"/>
        </w:tabs>
        <w:spacing w:line="480" w:lineRule="auto" w:before="75" w:after="0"/>
        <w:ind w:left="1498" w:right="529" w:hanging="384"/>
        <w:jc w:val="left"/>
        <w:rPr>
          <w:sz w:val="24"/>
        </w:rPr>
      </w:pPr>
      <w:r>
        <w:rPr>
          <w:sz w:val="24"/>
        </w:rPr>
        <w:t>Soltés L, Mendichi R, Kogan G, Schiller J, Stankovska M, Arnhold J. Degradative action of reactive oxygen species on hyaluronan. Biomacromolecules 2006;</w:t>
      </w:r>
      <w:r>
        <w:rPr>
          <w:spacing w:val="-6"/>
          <w:sz w:val="24"/>
        </w:rPr>
        <w:t> </w:t>
      </w:r>
      <w:r>
        <w:rPr>
          <w:sz w:val="24"/>
        </w:rPr>
        <w:t>7(3):659-68.</w:t>
      </w:r>
    </w:p>
    <w:p>
      <w:pPr>
        <w:pStyle w:val="ListParagraph"/>
        <w:numPr>
          <w:ilvl w:val="0"/>
          <w:numId w:val="2"/>
        </w:numPr>
        <w:tabs>
          <w:tab w:pos="1498" w:val="left" w:leader="none"/>
        </w:tabs>
        <w:spacing w:line="480" w:lineRule="auto" w:before="0" w:after="0"/>
        <w:ind w:left="1498" w:right="535" w:hanging="384"/>
        <w:jc w:val="left"/>
        <w:rPr>
          <w:sz w:val="24"/>
        </w:rPr>
      </w:pPr>
      <w:r>
        <w:rPr/>
        <w:drawing>
          <wp:anchor distT="0" distB="0" distL="0" distR="0" allowOverlap="1" layoutInCell="1" locked="0" behindDoc="0" simplePos="0" relativeHeight="15737856">
            <wp:simplePos x="0" y="0"/>
            <wp:positionH relativeFrom="page">
              <wp:posOffset>12700</wp:posOffset>
            </wp:positionH>
            <wp:positionV relativeFrom="paragraph">
              <wp:posOffset>629832</wp:posOffset>
            </wp:positionV>
            <wp:extent cx="876172" cy="6234938"/>
            <wp:effectExtent l="0" t="0" r="0" b="0"/>
            <wp:wrapNone/>
            <wp:docPr id="35" name="image1.png"/>
            <wp:cNvGraphicFramePr>
              <a:graphicFrameLocks noChangeAspect="1"/>
            </wp:cNvGraphicFramePr>
            <a:graphic>
              <a:graphicData uri="http://schemas.openxmlformats.org/drawingml/2006/picture">
                <pic:pic>
                  <pic:nvPicPr>
                    <pic:cNvPr id="36" name="image1.png"/>
                    <pic:cNvPicPr/>
                  </pic:nvPicPr>
                  <pic:blipFill>
                    <a:blip r:embed="rId6" cstate="print"/>
                    <a:stretch>
                      <a:fillRect/>
                    </a:stretch>
                  </pic:blipFill>
                  <pic:spPr>
                    <a:xfrm>
                      <a:off x="0" y="0"/>
                      <a:ext cx="876172" cy="6234938"/>
                    </a:xfrm>
                    <a:prstGeom prst="rect">
                      <a:avLst/>
                    </a:prstGeom>
                  </pic:spPr>
                </pic:pic>
              </a:graphicData>
            </a:graphic>
          </wp:anchor>
        </w:drawing>
      </w:r>
      <w:r>
        <w:rPr>
          <w:sz w:val="24"/>
        </w:rPr>
        <w:t>Brandt FS, Cazzaniga A. Hyaluronic acid gel fillers in the management of facial aging. Clin Interv Aging 2008;</w:t>
      </w:r>
      <w:r>
        <w:rPr>
          <w:spacing w:val="-1"/>
          <w:sz w:val="24"/>
        </w:rPr>
        <w:t> </w:t>
      </w:r>
      <w:r>
        <w:rPr>
          <w:sz w:val="24"/>
        </w:rPr>
        <w:t>3(1):153-9.</w:t>
      </w:r>
    </w:p>
    <w:p>
      <w:pPr>
        <w:pStyle w:val="ListParagraph"/>
        <w:numPr>
          <w:ilvl w:val="0"/>
          <w:numId w:val="2"/>
        </w:numPr>
        <w:tabs>
          <w:tab w:pos="1498" w:val="left" w:leader="none"/>
        </w:tabs>
        <w:spacing w:line="480" w:lineRule="auto" w:before="0" w:after="0"/>
        <w:ind w:left="1498" w:right="215" w:hanging="384"/>
        <w:jc w:val="left"/>
        <w:rPr>
          <w:sz w:val="24"/>
        </w:rPr>
      </w:pPr>
      <w:r>
        <w:rPr>
          <w:sz w:val="24"/>
        </w:rPr>
        <w:t>Roberts MJ, Bentley MD, Harris JM. Chemistry for peptide and protein PEGylation. Adv Drug Deliv Rev 2002;</w:t>
      </w:r>
      <w:r>
        <w:rPr>
          <w:spacing w:val="-1"/>
          <w:sz w:val="24"/>
        </w:rPr>
        <w:t> </w:t>
      </w:r>
      <w:r>
        <w:rPr>
          <w:sz w:val="24"/>
        </w:rPr>
        <w:t>54(4):459-76.</w:t>
      </w:r>
    </w:p>
    <w:p>
      <w:pPr>
        <w:pStyle w:val="ListParagraph"/>
        <w:numPr>
          <w:ilvl w:val="0"/>
          <w:numId w:val="2"/>
        </w:numPr>
        <w:tabs>
          <w:tab w:pos="1498" w:val="left" w:leader="none"/>
        </w:tabs>
        <w:spacing w:line="480" w:lineRule="auto" w:before="1" w:after="0"/>
        <w:ind w:left="1498" w:right="529" w:hanging="384"/>
        <w:jc w:val="left"/>
        <w:rPr>
          <w:sz w:val="24"/>
        </w:rPr>
      </w:pPr>
      <w:r>
        <w:rPr>
          <w:sz w:val="24"/>
        </w:rPr>
        <w:t>Lam J, Truong NF, Segura T. Design of cell-matrix interactions in hyaluronic acid hydrogel scaffolds. Acta Biomater 2014;</w:t>
      </w:r>
      <w:r>
        <w:rPr>
          <w:spacing w:val="-1"/>
          <w:sz w:val="24"/>
        </w:rPr>
        <w:t> </w:t>
      </w:r>
      <w:r>
        <w:rPr>
          <w:sz w:val="24"/>
        </w:rPr>
        <w:t>10(4):1571-1580.</w:t>
      </w:r>
    </w:p>
    <w:p>
      <w:pPr>
        <w:pStyle w:val="ListParagraph"/>
        <w:numPr>
          <w:ilvl w:val="0"/>
          <w:numId w:val="2"/>
        </w:numPr>
        <w:tabs>
          <w:tab w:pos="1498" w:val="left" w:leader="none"/>
        </w:tabs>
        <w:spacing w:line="480" w:lineRule="auto" w:before="0" w:after="0"/>
        <w:ind w:left="1498" w:right="116" w:hanging="384"/>
        <w:jc w:val="left"/>
        <w:rPr>
          <w:sz w:val="24"/>
        </w:rPr>
      </w:pPr>
      <w:r>
        <w:rPr>
          <w:sz w:val="24"/>
        </w:rPr>
        <w:t>Webster, R. </w:t>
      </w:r>
      <w:r>
        <w:rPr>
          <w:i/>
          <w:sz w:val="24"/>
        </w:rPr>
        <w:t>et al. </w:t>
      </w:r>
      <w:r>
        <w:rPr>
          <w:sz w:val="24"/>
        </w:rPr>
        <w:t>PEG and PEG conjugates toxicity: towards an understanding of the toxicity of PEG and its relevance to PEGylated biologicals. in </w:t>
      </w:r>
      <w:r>
        <w:rPr>
          <w:i/>
          <w:sz w:val="24"/>
        </w:rPr>
        <w:t>PEGylated Protein Drugs: Basic Science and Clinical Applications </w:t>
      </w:r>
      <w:r>
        <w:rPr>
          <w:sz w:val="24"/>
        </w:rPr>
        <w:t>(ed. Veronese, F. M.) 127–146 (Birkhäuser Basel, 2009). doi:10.1007/978-3-7643-8679-5_8</w:t>
      </w:r>
    </w:p>
    <w:p>
      <w:pPr>
        <w:pStyle w:val="ListParagraph"/>
        <w:numPr>
          <w:ilvl w:val="0"/>
          <w:numId w:val="2"/>
        </w:numPr>
        <w:tabs>
          <w:tab w:pos="1498" w:val="left" w:leader="none"/>
        </w:tabs>
        <w:spacing w:line="480" w:lineRule="auto" w:before="0" w:after="0"/>
        <w:ind w:left="1498" w:right="394" w:hanging="384"/>
        <w:jc w:val="left"/>
        <w:rPr>
          <w:sz w:val="24"/>
        </w:rPr>
      </w:pPr>
      <w:r>
        <w:rPr>
          <w:sz w:val="24"/>
        </w:rPr>
        <w:t>Webster R, Didier E, Harris P, Siegel N, Stadler J, Tilbury L, Smith D. PEGylated proteins: evaluation of their safety in the absence of definitive metabolism studies. Drug Metab Dispos 2007;</w:t>
      </w:r>
      <w:r>
        <w:rPr>
          <w:spacing w:val="-1"/>
          <w:sz w:val="24"/>
        </w:rPr>
        <w:t> </w:t>
      </w:r>
      <w:r>
        <w:rPr>
          <w:sz w:val="24"/>
        </w:rPr>
        <w:t>35(1):9-16.</w:t>
      </w:r>
    </w:p>
    <w:p>
      <w:pPr>
        <w:pStyle w:val="ListParagraph"/>
        <w:numPr>
          <w:ilvl w:val="0"/>
          <w:numId w:val="2"/>
        </w:numPr>
        <w:tabs>
          <w:tab w:pos="1498" w:val="left" w:leader="none"/>
        </w:tabs>
        <w:spacing w:line="480" w:lineRule="auto" w:before="0" w:after="0"/>
        <w:ind w:left="1498" w:right="341" w:hanging="384"/>
        <w:jc w:val="left"/>
        <w:rPr>
          <w:sz w:val="24"/>
        </w:rPr>
      </w:pPr>
      <w:r>
        <w:rPr>
          <w:sz w:val="24"/>
        </w:rPr>
        <w:t>Fakhari A, Berkland C. Applications and emerging trends of hyaluronic acid in tissue engineering, as a dermal filler and in osteoarthritis treatment. Acta Biomater 2013; 9(7):7081- 92.</w:t>
      </w:r>
    </w:p>
    <w:p>
      <w:pPr>
        <w:pStyle w:val="ListParagraph"/>
        <w:numPr>
          <w:ilvl w:val="0"/>
          <w:numId w:val="2"/>
        </w:numPr>
        <w:tabs>
          <w:tab w:pos="1498" w:val="left" w:leader="none"/>
        </w:tabs>
        <w:spacing w:line="480" w:lineRule="auto" w:before="0" w:after="0"/>
        <w:ind w:left="1498" w:right="128" w:hanging="384"/>
        <w:jc w:val="left"/>
        <w:rPr>
          <w:sz w:val="24"/>
        </w:rPr>
      </w:pPr>
      <w:r>
        <w:rPr>
          <w:sz w:val="24"/>
        </w:rPr>
        <w:t>Varma DM, Gold GT, Taub PJ, Nicoll SB. Injectable carboxymethylcellulose hydrogels for soft tissue filler applications. Acta Biomater 2014;</w:t>
      </w:r>
      <w:r>
        <w:rPr>
          <w:spacing w:val="-5"/>
          <w:sz w:val="24"/>
        </w:rPr>
        <w:t> </w:t>
      </w:r>
      <w:r>
        <w:rPr>
          <w:sz w:val="24"/>
        </w:rPr>
        <w:t>10(12):4996-5004.</w:t>
      </w:r>
    </w:p>
    <w:p>
      <w:pPr>
        <w:pStyle w:val="ListParagraph"/>
        <w:numPr>
          <w:ilvl w:val="0"/>
          <w:numId w:val="2"/>
        </w:numPr>
        <w:tabs>
          <w:tab w:pos="1498" w:val="left" w:leader="none"/>
        </w:tabs>
        <w:spacing w:line="480" w:lineRule="auto" w:before="0" w:after="0"/>
        <w:ind w:left="1498" w:right="1036" w:hanging="384"/>
        <w:jc w:val="left"/>
        <w:rPr>
          <w:sz w:val="24"/>
        </w:rPr>
      </w:pPr>
      <w:r>
        <w:rPr>
          <w:sz w:val="24"/>
        </w:rPr>
        <w:t>Donofrio L, Weinkle S. The third dimension in facial rejuvenation: a review. J Cosmet Dermatol 2006;</w:t>
      </w:r>
      <w:r>
        <w:rPr>
          <w:spacing w:val="-1"/>
          <w:sz w:val="24"/>
        </w:rPr>
        <w:t> </w:t>
      </w:r>
      <w:r>
        <w:rPr>
          <w:sz w:val="24"/>
        </w:rPr>
        <w:t>5(4):277-83.</w:t>
      </w:r>
    </w:p>
    <w:p>
      <w:pPr>
        <w:spacing w:after="0" w:line="480" w:lineRule="auto"/>
        <w:jc w:val="left"/>
        <w:rPr>
          <w:sz w:val="24"/>
        </w:rPr>
        <w:sectPr>
          <w:pgSz w:w="11910" w:h="16840"/>
          <w:pgMar w:header="0" w:footer="367" w:top="1320" w:bottom="560" w:left="20" w:right="1020"/>
        </w:sectPr>
      </w:pPr>
    </w:p>
    <w:p>
      <w:pPr>
        <w:pStyle w:val="ListParagraph"/>
        <w:numPr>
          <w:ilvl w:val="0"/>
          <w:numId w:val="2"/>
        </w:numPr>
        <w:tabs>
          <w:tab w:pos="1498" w:val="left" w:leader="none"/>
        </w:tabs>
        <w:spacing w:line="480" w:lineRule="auto" w:before="75" w:after="0"/>
        <w:ind w:left="1498" w:right="855" w:hanging="384"/>
        <w:jc w:val="both"/>
        <w:rPr>
          <w:sz w:val="24"/>
        </w:rPr>
      </w:pPr>
      <w:r>
        <w:rPr>
          <w:sz w:val="24"/>
        </w:rPr>
        <w:t>Wollina, U. &amp; Goldman, A. Hyaluronic Acid Dermal Fillers: Safety and Efficacy for the Treatment of Wrinkles, Aging Skin, Body Sculpturing and Medical Conditions. </w:t>
      </w:r>
      <w:r>
        <w:rPr>
          <w:i/>
          <w:sz w:val="24"/>
        </w:rPr>
        <w:t>Clinical Medicine Reviews in Therapeutics </w:t>
      </w:r>
      <w:r>
        <w:rPr>
          <w:b/>
          <w:sz w:val="24"/>
        </w:rPr>
        <w:t>3</w:t>
      </w:r>
      <w:r>
        <w:rPr>
          <w:sz w:val="24"/>
        </w:rPr>
        <w:t>, 107–121</w:t>
      </w:r>
      <w:r>
        <w:rPr>
          <w:spacing w:val="-3"/>
          <w:sz w:val="24"/>
        </w:rPr>
        <w:t> </w:t>
      </w:r>
      <w:r>
        <w:rPr>
          <w:sz w:val="24"/>
        </w:rPr>
        <w:t>(2011).</w:t>
      </w:r>
    </w:p>
    <w:p>
      <w:pPr>
        <w:pStyle w:val="ListParagraph"/>
        <w:numPr>
          <w:ilvl w:val="0"/>
          <w:numId w:val="2"/>
        </w:numPr>
        <w:tabs>
          <w:tab w:pos="1498" w:val="left" w:leader="none"/>
        </w:tabs>
        <w:spacing w:line="480" w:lineRule="auto" w:before="0" w:after="0"/>
        <w:ind w:left="1498" w:right="619" w:hanging="384"/>
        <w:jc w:val="left"/>
        <w:rPr>
          <w:sz w:val="24"/>
        </w:rPr>
      </w:pPr>
      <w:r>
        <w:rPr/>
        <w:drawing>
          <wp:anchor distT="0" distB="0" distL="0" distR="0" allowOverlap="1" layoutInCell="1" locked="0" behindDoc="0" simplePos="0" relativeHeight="15738368">
            <wp:simplePos x="0" y="0"/>
            <wp:positionH relativeFrom="page">
              <wp:posOffset>12700</wp:posOffset>
            </wp:positionH>
            <wp:positionV relativeFrom="paragraph">
              <wp:posOffset>279312</wp:posOffset>
            </wp:positionV>
            <wp:extent cx="876172" cy="6234938"/>
            <wp:effectExtent l="0" t="0" r="0" b="0"/>
            <wp:wrapNone/>
            <wp:docPr id="37" name="image1.png"/>
            <wp:cNvGraphicFramePr>
              <a:graphicFrameLocks noChangeAspect="1"/>
            </wp:cNvGraphicFramePr>
            <a:graphic>
              <a:graphicData uri="http://schemas.openxmlformats.org/drawingml/2006/picture">
                <pic:pic>
                  <pic:nvPicPr>
                    <pic:cNvPr id="38" name="image1.png"/>
                    <pic:cNvPicPr/>
                  </pic:nvPicPr>
                  <pic:blipFill>
                    <a:blip r:embed="rId6" cstate="print"/>
                    <a:stretch>
                      <a:fillRect/>
                    </a:stretch>
                  </pic:blipFill>
                  <pic:spPr>
                    <a:xfrm>
                      <a:off x="0" y="0"/>
                      <a:ext cx="876172" cy="6234938"/>
                    </a:xfrm>
                    <a:prstGeom prst="rect">
                      <a:avLst/>
                    </a:prstGeom>
                  </pic:spPr>
                </pic:pic>
              </a:graphicData>
            </a:graphic>
          </wp:anchor>
        </w:drawing>
      </w:r>
      <w:r>
        <w:rPr>
          <w:sz w:val="24"/>
        </w:rPr>
        <w:t>Kablik J, Monheit GD, Yu L, Chang G, Gershkovich J. Comparative physical properties of hyaluronic acid dermal fillers. Dermatol Surg 2009; 35 Suppl</w:t>
      </w:r>
      <w:r>
        <w:rPr>
          <w:spacing w:val="-4"/>
          <w:sz w:val="24"/>
        </w:rPr>
        <w:t> </w:t>
      </w:r>
      <w:r>
        <w:rPr>
          <w:sz w:val="24"/>
        </w:rPr>
        <w:t>1:302-12.</w:t>
      </w:r>
    </w:p>
    <w:p>
      <w:pPr>
        <w:pStyle w:val="ListParagraph"/>
        <w:numPr>
          <w:ilvl w:val="0"/>
          <w:numId w:val="2"/>
        </w:numPr>
        <w:tabs>
          <w:tab w:pos="1498" w:val="left" w:leader="none"/>
        </w:tabs>
        <w:spacing w:line="480" w:lineRule="auto" w:before="0" w:after="0"/>
        <w:ind w:left="1498" w:right="749" w:hanging="384"/>
        <w:jc w:val="left"/>
        <w:rPr>
          <w:sz w:val="24"/>
        </w:rPr>
      </w:pPr>
      <w:r>
        <w:rPr>
          <w:sz w:val="24"/>
        </w:rPr>
        <w:t>Edsman K, Nord LI, Ohrlund A, Lärkner H, Kenne AH. Gel properties of hyaluronic acid dermal fillers. Dermatol Surg 2012; 38(7 Pt</w:t>
      </w:r>
      <w:r>
        <w:rPr>
          <w:spacing w:val="-3"/>
          <w:sz w:val="24"/>
        </w:rPr>
        <w:t> </w:t>
      </w:r>
      <w:r>
        <w:rPr>
          <w:sz w:val="24"/>
        </w:rPr>
        <w:t>2):1170-9.</w:t>
      </w:r>
    </w:p>
    <w:p>
      <w:pPr>
        <w:pStyle w:val="ListParagraph"/>
        <w:numPr>
          <w:ilvl w:val="0"/>
          <w:numId w:val="2"/>
        </w:numPr>
        <w:tabs>
          <w:tab w:pos="1498" w:val="left" w:leader="none"/>
        </w:tabs>
        <w:spacing w:line="240" w:lineRule="auto" w:before="1" w:after="0"/>
        <w:ind w:left="1498" w:right="0" w:hanging="384"/>
        <w:jc w:val="left"/>
        <w:rPr>
          <w:sz w:val="24"/>
        </w:rPr>
      </w:pPr>
      <w:r>
        <w:rPr>
          <w:sz w:val="24"/>
        </w:rPr>
        <w:t>Tripodo G, Trapani A, Rosato A, Di Franco C, Tamma R, Trapani G, Ribatti D,</w:t>
      </w:r>
      <w:r>
        <w:rPr>
          <w:spacing w:val="-20"/>
          <w:sz w:val="24"/>
        </w:rPr>
        <w:t> </w:t>
      </w:r>
      <w:r>
        <w:rPr>
          <w:sz w:val="24"/>
        </w:rPr>
        <w:t>Mandracchia</w:t>
      </w:r>
    </w:p>
    <w:p>
      <w:pPr>
        <w:pStyle w:val="BodyText"/>
        <w:spacing w:before="11"/>
        <w:rPr>
          <w:sz w:val="23"/>
        </w:rPr>
      </w:pPr>
    </w:p>
    <w:p>
      <w:pPr>
        <w:pStyle w:val="BodyText"/>
        <w:spacing w:line="480" w:lineRule="auto"/>
        <w:ind w:left="1498" w:right="120"/>
      </w:pPr>
      <w:r>
        <w:rPr/>
        <w:t>D. Hydrogels for biomedical applications from glycol chitosan and PEG diglycidyl ether exhibit pro-angiogenic and antibacterial activity. Carbohydr Polym 2018; 198:124-130.</w:t>
      </w:r>
    </w:p>
    <w:p>
      <w:pPr>
        <w:pStyle w:val="ListParagraph"/>
        <w:numPr>
          <w:ilvl w:val="0"/>
          <w:numId w:val="2"/>
        </w:numPr>
        <w:tabs>
          <w:tab w:pos="1498" w:val="left" w:leader="none"/>
        </w:tabs>
        <w:spacing w:line="480" w:lineRule="auto" w:before="0" w:after="0"/>
        <w:ind w:left="1498" w:right="193" w:hanging="384"/>
        <w:jc w:val="left"/>
        <w:rPr>
          <w:sz w:val="24"/>
        </w:rPr>
      </w:pPr>
      <w:r>
        <w:rPr>
          <w:sz w:val="24"/>
        </w:rPr>
        <w:t>Working, P. K., Newman, M. S., Johnson, J. &amp; Cornacoff, J. B. Safety of Poly(ethylene glycol) and Poly(ethylene glycol) Derivatives. in </w:t>
      </w:r>
      <w:r>
        <w:rPr>
          <w:i/>
          <w:sz w:val="24"/>
        </w:rPr>
        <w:t>Poly(ethylene glycol) </w:t>
      </w:r>
      <w:r>
        <w:rPr>
          <w:b/>
          <w:sz w:val="24"/>
        </w:rPr>
        <w:t>680</w:t>
      </w:r>
      <w:r>
        <w:rPr>
          <w:sz w:val="24"/>
        </w:rPr>
        <w:t>, 45–57 (American Chemical Society,</w:t>
      </w:r>
      <w:r>
        <w:rPr>
          <w:spacing w:val="-1"/>
          <w:sz w:val="24"/>
        </w:rPr>
        <w:t> </w:t>
      </w:r>
      <w:r>
        <w:rPr>
          <w:sz w:val="24"/>
        </w:rPr>
        <w:t>1997).</w:t>
      </w:r>
    </w:p>
    <w:p>
      <w:pPr>
        <w:pStyle w:val="ListParagraph"/>
        <w:numPr>
          <w:ilvl w:val="0"/>
          <w:numId w:val="2"/>
        </w:numPr>
        <w:tabs>
          <w:tab w:pos="1474" w:val="left" w:leader="none"/>
        </w:tabs>
        <w:spacing w:line="480" w:lineRule="auto" w:before="0" w:after="0"/>
        <w:ind w:left="1498" w:right="661" w:hanging="384"/>
        <w:jc w:val="left"/>
        <w:rPr>
          <w:sz w:val="24"/>
        </w:rPr>
      </w:pPr>
      <w:r>
        <w:rPr>
          <w:sz w:val="24"/>
        </w:rPr>
        <w:t>Baumann A, Tuerck D, Prabhu S, Dickmann L, Sims J. Pharmacokinetics, metabolism and distribution of PEGs and PEGylated proteins: quo vadis?. Drug Discov Today 2014; 19(10):1623-31.</w:t>
      </w:r>
    </w:p>
    <w:p>
      <w:pPr>
        <w:pStyle w:val="ListParagraph"/>
        <w:numPr>
          <w:ilvl w:val="0"/>
          <w:numId w:val="2"/>
        </w:numPr>
        <w:tabs>
          <w:tab w:pos="1498" w:val="left" w:leader="none"/>
        </w:tabs>
        <w:spacing w:line="480" w:lineRule="auto" w:before="0" w:after="0"/>
        <w:ind w:left="1498" w:right="329" w:hanging="384"/>
        <w:jc w:val="left"/>
        <w:rPr>
          <w:sz w:val="24"/>
        </w:rPr>
      </w:pPr>
      <w:r>
        <w:rPr>
          <w:sz w:val="24"/>
        </w:rPr>
        <w:t>Fruijtier-Pölloth C. Safety assessment on polyethylene glycols (PEGs) and their derivatives as used in cosmetic products. Toxicology 2005;</w:t>
      </w:r>
      <w:r>
        <w:rPr>
          <w:spacing w:val="-2"/>
          <w:sz w:val="24"/>
        </w:rPr>
        <w:t> </w:t>
      </w:r>
      <w:r>
        <w:rPr>
          <w:sz w:val="24"/>
        </w:rPr>
        <w:t>214(1-2):1-38.</w:t>
      </w:r>
    </w:p>
    <w:p>
      <w:pPr>
        <w:pStyle w:val="ListParagraph"/>
        <w:numPr>
          <w:ilvl w:val="0"/>
          <w:numId w:val="2"/>
        </w:numPr>
        <w:tabs>
          <w:tab w:pos="1498" w:val="left" w:leader="none"/>
        </w:tabs>
        <w:spacing w:line="480" w:lineRule="auto" w:before="0" w:after="0"/>
        <w:ind w:left="1498" w:right="186" w:hanging="384"/>
        <w:jc w:val="left"/>
        <w:rPr>
          <w:sz w:val="24"/>
        </w:rPr>
      </w:pPr>
      <w:r>
        <w:rPr>
          <w:sz w:val="24"/>
        </w:rPr>
        <w:t>Zerbinati N, D'Este E, Farina A, Rauso R, Cherubino M, Calligaro A. Morphological evidences following pegylated filler treatment in human skin. J Biol Regul Homeost Agents 2017; 31(2 Suppl.</w:t>
      </w:r>
      <w:r>
        <w:rPr>
          <w:spacing w:val="-1"/>
          <w:sz w:val="24"/>
        </w:rPr>
        <w:t> </w:t>
      </w:r>
      <w:r>
        <w:rPr>
          <w:sz w:val="24"/>
        </w:rPr>
        <w:t>2):79-85.</w:t>
      </w:r>
    </w:p>
    <w:p>
      <w:pPr>
        <w:spacing w:after="0" w:line="480" w:lineRule="auto"/>
        <w:jc w:val="left"/>
        <w:rPr>
          <w:sz w:val="24"/>
        </w:rPr>
        <w:sectPr>
          <w:pgSz w:w="11910" w:h="16840"/>
          <w:pgMar w:header="0" w:footer="367" w:top="1320" w:bottom="560" w:left="20" w:right="1020"/>
        </w:sectPr>
      </w:pPr>
    </w:p>
    <w:p>
      <w:pPr>
        <w:pStyle w:val="ListParagraph"/>
        <w:numPr>
          <w:ilvl w:val="0"/>
          <w:numId w:val="2"/>
        </w:numPr>
        <w:tabs>
          <w:tab w:pos="1498" w:val="left" w:leader="none"/>
        </w:tabs>
        <w:spacing w:line="480" w:lineRule="auto" w:before="75" w:after="0"/>
        <w:ind w:left="1498" w:right="601" w:hanging="384"/>
        <w:jc w:val="left"/>
        <w:rPr>
          <w:sz w:val="24"/>
        </w:rPr>
      </w:pPr>
      <w:r>
        <w:rPr>
          <w:sz w:val="24"/>
        </w:rPr>
        <w:t>Zerbinati N, Lotti T, Monticelli D, et al. In Vitro Evaluation of the Biosafety of Hyaluronic Acid PEG Cross-Linked with Micromolecules of Calcium Hydroxyapatite in Low Concentration. Open Access Maced J Med Sci 2018;</w:t>
      </w:r>
      <w:r>
        <w:rPr>
          <w:spacing w:val="-4"/>
          <w:sz w:val="24"/>
        </w:rPr>
        <w:t> </w:t>
      </w:r>
      <w:r>
        <w:rPr>
          <w:sz w:val="24"/>
        </w:rPr>
        <w:t>6(1):15-19.</w:t>
      </w:r>
    </w:p>
    <w:p>
      <w:pPr>
        <w:pStyle w:val="ListParagraph"/>
        <w:numPr>
          <w:ilvl w:val="0"/>
          <w:numId w:val="2"/>
        </w:numPr>
        <w:tabs>
          <w:tab w:pos="1498" w:val="left" w:leader="none"/>
        </w:tabs>
        <w:spacing w:line="480" w:lineRule="auto" w:before="0" w:after="0"/>
        <w:ind w:left="1497" w:right="172" w:hanging="384"/>
        <w:jc w:val="left"/>
        <w:rPr>
          <w:sz w:val="24"/>
        </w:rPr>
      </w:pPr>
      <w:r>
        <w:rPr/>
        <w:drawing>
          <wp:anchor distT="0" distB="0" distL="0" distR="0" allowOverlap="1" layoutInCell="1" locked="0" behindDoc="0" simplePos="0" relativeHeight="15738880">
            <wp:simplePos x="0" y="0"/>
            <wp:positionH relativeFrom="page">
              <wp:posOffset>12700</wp:posOffset>
            </wp:positionH>
            <wp:positionV relativeFrom="paragraph">
              <wp:posOffset>279312</wp:posOffset>
            </wp:positionV>
            <wp:extent cx="876172" cy="6234938"/>
            <wp:effectExtent l="0" t="0" r="0" b="0"/>
            <wp:wrapNone/>
            <wp:docPr id="39" name="image1.png"/>
            <wp:cNvGraphicFramePr>
              <a:graphicFrameLocks noChangeAspect="1"/>
            </wp:cNvGraphicFramePr>
            <a:graphic>
              <a:graphicData uri="http://schemas.openxmlformats.org/drawingml/2006/picture">
                <pic:pic>
                  <pic:nvPicPr>
                    <pic:cNvPr id="40" name="image1.png"/>
                    <pic:cNvPicPr/>
                  </pic:nvPicPr>
                  <pic:blipFill>
                    <a:blip r:embed="rId6" cstate="print"/>
                    <a:stretch>
                      <a:fillRect/>
                    </a:stretch>
                  </pic:blipFill>
                  <pic:spPr>
                    <a:xfrm>
                      <a:off x="0" y="0"/>
                      <a:ext cx="876172" cy="6234938"/>
                    </a:xfrm>
                    <a:prstGeom prst="rect">
                      <a:avLst/>
                    </a:prstGeom>
                  </pic:spPr>
                </pic:pic>
              </a:graphicData>
            </a:graphic>
          </wp:anchor>
        </w:drawing>
      </w:r>
      <w:r>
        <w:rPr>
          <w:sz w:val="24"/>
        </w:rPr>
        <w:t>Zerbinati N, Rauso R, Gonzalez P, et al. In vitro evaluation of collagen production on human fibroblasts treated with hyaluronic acid peg cross-linked with micromolecules of calcium hydroxyapatite in low concentration. J Biol Regul Homeost Agents 2017; 31(2 Suppl.</w:t>
      </w:r>
      <w:r>
        <w:rPr>
          <w:spacing w:val="-16"/>
          <w:sz w:val="24"/>
        </w:rPr>
        <w:t> </w:t>
      </w:r>
      <w:r>
        <w:rPr>
          <w:sz w:val="24"/>
        </w:rPr>
        <w:t>2):87-90.</w:t>
      </w:r>
    </w:p>
    <w:p>
      <w:pPr>
        <w:pStyle w:val="ListParagraph"/>
        <w:numPr>
          <w:ilvl w:val="0"/>
          <w:numId w:val="2"/>
        </w:numPr>
        <w:tabs>
          <w:tab w:pos="1498" w:val="left" w:leader="none"/>
        </w:tabs>
        <w:spacing w:line="480" w:lineRule="auto" w:before="1" w:after="0"/>
        <w:ind w:left="1498" w:right="156" w:hanging="384"/>
        <w:jc w:val="left"/>
        <w:rPr>
          <w:sz w:val="24"/>
        </w:rPr>
      </w:pPr>
      <w:r>
        <w:rPr>
          <w:sz w:val="24"/>
        </w:rPr>
        <w:t>Dong, Q. </w:t>
      </w:r>
      <w:r>
        <w:rPr>
          <w:i/>
          <w:sz w:val="24"/>
        </w:rPr>
        <w:t>et al. </w:t>
      </w:r>
      <w:r>
        <w:rPr>
          <w:sz w:val="24"/>
        </w:rPr>
        <w:t>Rapid determination of hyaluronic acid concentration in fermentation broth with near-infrared spectroscopy. </w:t>
      </w:r>
      <w:r>
        <w:rPr>
          <w:i/>
          <w:sz w:val="24"/>
        </w:rPr>
        <w:t>J. Innov. Opt. Health Sci. </w:t>
      </w:r>
      <w:r>
        <w:rPr>
          <w:b/>
          <w:sz w:val="24"/>
        </w:rPr>
        <w:t>07</w:t>
      </w:r>
      <w:r>
        <w:rPr>
          <w:sz w:val="24"/>
        </w:rPr>
        <w:t>, 1450012</w:t>
      </w:r>
      <w:r>
        <w:rPr>
          <w:spacing w:val="-7"/>
          <w:sz w:val="24"/>
        </w:rPr>
        <w:t> </w:t>
      </w:r>
      <w:r>
        <w:rPr>
          <w:sz w:val="24"/>
        </w:rPr>
        <w:t>(2013).</w:t>
      </w:r>
    </w:p>
    <w:p>
      <w:pPr>
        <w:pStyle w:val="ListParagraph"/>
        <w:numPr>
          <w:ilvl w:val="0"/>
          <w:numId w:val="2"/>
        </w:numPr>
        <w:tabs>
          <w:tab w:pos="1498" w:val="left" w:leader="none"/>
        </w:tabs>
        <w:spacing w:line="240" w:lineRule="auto" w:before="0" w:after="0"/>
        <w:ind w:left="1498" w:right="0" w:hanging="384"/>
        <w:jc w:val="left"/>
        <w:rPr>
          <w:sz w:val="24"/>
        </w:rPr>
      </w:pPr>
      <w:r>
        <w:rPr>
          <w:sz w:val="24"/>
        </w:rPr>
        <w:t>Bitter T, Muir HM. A modified uronic acid carbazole reaction. Anal Biochem 1962;</w:t>
      </w:r>
      <w:r>
        <w:rPr>
          <w:spacing w:val="-16"/>
          <w:sz w:val="24"/>
        </w:rPr>
        <w:t> </w:t>
      </w:r>
      <w:r>
        <w:rPr>
          <w:sz w:val="24"/>
        </w:rPr>
        <w:t>4:330-4.</w:t>
      </w:r>
    </w:p>
    <w:p>
      <w:pPr>
        <w:pStyle w:val="BodyText"/>
        <w:spacing w:before="10"/>
        <w:rPr>
          <w:sz w:val="23"/>
        </w:rPr>
      </w:pPr>
    </w:p>
    <w:p>
      <w:pPr>
        <w:pStyle w:val="ListParagraph"/>
        <w:numPr>
          <w:ilvl w:val="0"/>
          <w:numId w:val="2"/>
        </w:numPr>
        <w:tabs>
          <w:tab w:pos="1474" w:val="left" w:leader="none"/>
        </w:tabs>
        <w:spacing w:line="480" w:lineRule="auto" w:before="0" w:after="0"/>
        <w:ind w:left="1474" w:right="373" w:hanging="360"/>
        <w:jc w:val="left"/>
        <w:rPr>
          <w:sz w:val="24"/>
        </w:rPr>
      </w:pPr>
      <w:r>
        <w:rPr>
          <w:sz w:val="24"/>
        </w:rPr>
        <w:t>Zerbinati N, Mocchi R, Galadari H, et al. In Vitro Evaluation of the Biological Availability of Hyaluronic Acid Polyethylene Glycols-Cross-Linked Hydrogels to Bovine Testes Hyaluronidase. Biomed Res Int 2019;</w:t>
      </w:r>
      <w:r>
        <w:rPr>
          <w:spacing w:val="-12"/>
          <w:sz w:val="24"/>
        </w:rPr>
        <w:t> </w:t>
      </w:r>
      <w:r>
        <w:rPr>
          <w:sz w:val="24"/>
        </w:rPr>
        <w:t>2019:3196723.</w:t>
      </w:r>
    </w:p>
    <w:p>
      <w:pPr>
        <w:pStyle w:val="ListParagraph"/>
        <w:numPr>
          <w:ilvl w:val="0"/>
          <w:numId w:val="2"/>
        </w:numPr>
        <w:tabs>
          <w:tab w:pos="1474" w:val="left" w:leader="none"/>
        </w:tabs>
        <w:spacing w:line="480" w:lineRule="auto" w:before="161" w:after="0"/>
        <w:ind w:left="1474" w:right="475" w:hanging="360"/>
        <w:jc w:val="left"/>
        <w:rPr>
          <w:sz w:val="24"/>
        </w:rPr>
      </w:pPr>
      <w:r>
        <w:rPr>
          <w:sz w:val="24"/>
        </w:rPr>
        <w:t>Monticelli D, Martina V, Mocchi R, Rauso R, Zerbinati U, Cipolla G, Zerbinati N.</w:t>
      </w:r>
      <w:r>
        <w:rPr>
          <w:spacing w:val="-34"/>
          <w:sz w:val="24"/>
        </w:rPr>
        <w:t> </w:t>
      </w:r>
      <w:r>
        <w:rPr>
          <w:sz w:val="24"/>
        </w:rPr>
        <w:t>Chemical Characterization of Hydrogels Crosslinked with Polyethylene Glycol for Soft Tissue Augmentation. Open Access Maced J Med Sci 2019;</w:t>
      </w:r>
      <w:r>
        <w:rPr>
          <w:spacing w:val="-2"/>
          <w:sz w:val="24"/>
        </w:rPr>
        <w:t> </w:t>
      </w:r>
      <w:r>
        <w:rPr>
          <w:sz w:val="24"/>
        </w:rPr>
        <w:t>7(7):1077-1081.</w:t>
      </w:r>
    </w:p>
    <w:p>
      <w:pPr>
        <w:pStyle w:val="ListParagraph"/>
        <w:numPr>
          <w:ilvl w:val="0"/>
          <w:numId w:val="2"/>
        </w:numPr>
        <w:tabs>
          <w:tab w:pos="1474" w:val="left" w:leader="none"/>
        </w:tabs>
        <w:spacing w:line="480" w:lineRule="auto" w:before="160" w:after="0"/>
        <w:ind w:left="1474" w:right="568" w:hanging="360"/>
        <w:jc w:val="left"/>
        <w:rPr>
          <w:sz w:val="24"/>
        </w:rPr>
      </w:pPr>
      <w:r>
        <w:rPr>
          <w:sz w:val="24"/>
        </w:rPr>
        <w:t>Martina V, Gallo A, Tarantino E, et al. Viscoelastic properties and thermodynamic balance improvement of a hyaluronic acid hydrogel enriched with proline and glycyne. J Biol Regul Homeost Agents 2019;</w:t>
      </w:r>
      <w:r>
        <w:rPr>
          <w:spacing w:val="-1"/>
          <w:sz w:val="24"/>
        </w:rPr>
        <w:t> </w:t>
      </w:r>
      <w:r>
        <w:rPr>
          <w:sz w:val="24"/>
        </w:rPr>
        <w:t>33(6).</w:t>
      </w:r>
    </w:p>
    <w:p>
      <w:pPr>
        <w:pStyle w:val="ListParagraph"/>
        <w:numPr>
          <w:ilvl w:val="0"/>
          <w:numId w:val="2"/>
        </w:numPr>
        <w:tabs>
          <w:tab w:pos="1474" w:val="left" w:leader="none"/>
        </w:tabs>
        <w:spacing w:line="480" w:lineRule="auto" w:before="159" w:after="0"/>
        <w:ind w:left="1474" w:right="193" w:hanging="360"/>
        <w:jc w:val="left"/>
        <w:rPr>
          <w:sz w:val="24"/>
        </w:rPr>
      </w:pPr>
      <w:r>
        <w:rPr>
          <w:sz w:val="24"/>
        </w:rPr>
        <w:t>Zerbinati N, Lotti T, Monticelli D, et al. In Vitro Evaluation of the Sensitivity of a Hyaluronic Acid PEG Cross-Linked to Bovine Testes Hyaluronidase. Open Access Maced J Med Sci 2018; 6(1):20-24.</w:t>
      </w:r>
    </w:p>
    <w:p>
      <w:pPr>
        <w:spacing w:after="0" w:line="480" w:lineRule="auto"/>
        <w:jc w:val="left"/>
        <w:rPr>
          <w:sz w:val="24"/>
        </w:rPr>
        <w:sectPr>
          <w:pgSz w:w="11910" w:h="16840"/>
          <w:pgMar w:header="0" w:footer="367" w:top="1320" w:bottom="560" w:left="20" w:right="1020"/>
        </w:sectPr>
      </w:pPr>
    </w:p>
    <w:p>
      <w:pPr>
        <w:pStyle w:val="ListParagraph"/>
        <w:numPr>
          <w:ilvl w:val="0"/>
          <w:numId w:val="2"/>
        </w:numPr>
        <w:tabs>
          <w:tab w:pos="1474" w:val="left" w:leader="none"/>
        </w:tabs>
        <w:spacing w:line="480" w:lineRule="auto" w:before="75" w:after="0"/>
        <w:ind w:left="1474" w:right="438" w:hanging="360"/>
        <w:jc w:val="both"/>
        <w:rPr>
          <w:sz w:val="24"/>
        </w:rPr>
      </w:pPr>
      <w:r>
        <w:rPr>
          <w:sz w:val="24"/>
        </w:rPr>
        <w:t>Zerbinati N, Haddad RG, Bader A, et al. A new hyaluronic acid polymer in the augmentation and restoration of labia majora. J Biol Regul Homeost Agents 2017; 31(2 Suppl.</w:t>
      </w:r>
      <w:r>
        <w:rPr>
          <w:spacing w:val="-14"/>
          <w:sz w:val="24"/>
        </w:rPr>
        <w:t> </w:t>
      </w:r>
      <w:r>
        <w:rPr>
          <w:sz w:val="24"/>
        </w:rPr>
        <w:t>2):153-161.</w:t>
      </w:r>
    </w:p>
    <w:p>
      <w:pPr>
        <w:pStyle w:val="ListParagraph"/>
        <w:numPr>
          <w:ilvl w:val="0"/>
          <w:numId w:val="2"/>
        </w:numPr>
        <w:tabs>
          <w:tab w:pos="1474" w:val="left" w:leader="none"/>
        </w:tabs>
        <w:spacing w:line="480" w:lineRule="auto" w:before="160" w:after="0"/>
        <w:ind w:left="1474" w:right="179" w:hanging="360"/>
        <w:jc w:val="both"/>
        <w:rPr>
          <w:sz w:val="24"/>
        </w:rPr>
      </w:pPr>
      <w:r>
        <w:rPr/>
        <w:drawing>
          <wp:anchor distT="0" distB="0" distL="0" distR="0" allowOverlap="1" layoutInCell="1" locked="0" behindDoc="1" simplePos="0" relativeHeight="487260160">
            <wp:simplePos x="0" y="0"/>
            <wp:positionH relativeFrom="page">
              <wp:posOffset>88888</wp:posOffset>
            </wp:positionH>
            <wp:positionV relativeFrom="paragraph">
              <wp:posOffset>655483</wp:posOffset>
            </wp:positionV>
            <wp:extent cx="799984" cy="6209541"/>
            <wp:effectExtent l="0" t="0" r="0" b="0"/>
            <wp:wrapNone/>
            <wp:docPr id="41" name="image2.png"/>
            <wp:cNvGraphicFramePr>
              <a:graphicFrameLocks noChangeAspect="1"/>
            </wp:cNvGraphicFramePr>
            <a:graphic>
              <a:graphicData uri="http://schemas.openxmlformats.org/drawingml/2006/picture">
                <pic:pic>
                  <pic:nvPicPr>
                    <pic:cNvPr id="42" name="image2.png"/>
                    <pic:cNvPicPr/>
                  </pic:nvPicPr>
                  <pic:blipFill>
                    <a:blip r:embed="rId37" cstate="print"/>
                    <a:stretch>
                      <a:fillRect/>
                    </a:stretch>
                  </pic:blipFill>
                  <pic:spPr>
                    <a:xfrm>
                      <a:off x="0" y="0"/>
                      <a:ext cx="799984" cy="6209541"/>
                    </a:xfrm>
                    <a:prstGeom prst="rect">
                      <a:avLst/>
                    </a:prstGeom>
                  </pic:spPr>
                </pic:pic>
              </a:graphicData>
            </a:graphic>
          </wp:anchor>
        </w:drawing>
      </w:r>
      <w:r>
        <w:rPr>
          <w:sz w:val="24"/>
        </w:rPr>
        <w:t>Zerbinati N, Rauso R, Protasoni M, et al. Pegylated hyaluronic acid filler enriched with calcium hydroxyapatite treatment of human skin: collagen renewal demonstrated through morphometric computerized analysis. J Biol Regul Homeost Agents 2019;</w:t>
      </w:r>
      <w:r>
        <w:rPr>
          <w:spacing w:val="-5"/>
          <w:sz w:val="24"/>
        </w:rPr>
        <w:t> </w:t>
      </w:r>
      <w:r>
        <w:rPr>
          <w:sz w:val="24"/>
        </w:rPr>
        <w:t>33(6):1967-1971.</w:t>
      </w:r>
    </w:p>
    <w:p>
      <w:pPr>
        <w:spacing w:after="0" w:line="480" w:lineRule="auto"/>
        <w:jc w:val="both"/>
        <w:rPr>
          <w:sz w:val="24"/>
        </w:rPr>
        <w:sectPr>
          <w:pgSz w:w="11910" w:h="16840"/>
          <w:pgMar w:header="0" w:footer="367" w:top="1320" w:bottom="560" w:left="20" w:right="1020"/>
        </w:sectPr>
      </w:pPr>
    </w:p>
    <w:p>
      <w:pPr>
        <w:pStyle w:val="BodyText"/>
        <w:spacing w:before="5"/>
        <w:rPr>
          <w:sz w:val="15"/>
        </w:rPr>
      </w:pPr>
    </w:p>
    <w:p>
      <w:pPr>
        <w:pStyle w:val="BodyText"/>
        <w:ind w:left="2114"/>
        <w:rPr>
          <w:sz w:val="20"/>
        </w:rPr>
      </w:pPr>
      <w:r>
        <w:rPr>
          <w:sz w:val="20"/>
        </w:rPr>
        <w:drawing>
          <wp:inline distT="0" distB="0" distL="0" distR="0">
            <wp:extent cx="3251918" cy="3587496"/>
            <wp:effectExtent l="0" t="0" r="0" b="0"/>
            <wp:docPr id="43" name="image3.jpeg"/>
            <wp:cNvGraphicFramePr>
              <a:graphicFrameLocks noChangeAspect="1"/>
            </wp:cNvGraphicFramePr>
            <a:graphic>
              <a:graphicData uri="http://schemas.openxmlformats.org/drawingml/2006/picture">
                <pic:pic>
                  <pic:nvPicPr>
                    <pic:cNvPr id="44" name="image3.jpeg"/>
                    <pic:cNvPicPr/>
                  </pic:nvPicPr>
                  <pic:blipFill>
                    <a:blip r:embed="rId39" cstate="print"/>
                    <a:stretch>
                      <a:fillRect/>
                    </a:stretch>
                  </pic:blipFill>
                  <pic:spPr>
                    <a:xfrm>
                      <a:off x="0" y="0"/>
                      <a:ext cx="3251918" cy="3587496"/>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8"/>
        </w:rPr>
      </w:pPr>
    </w:p>
    <w:p>
      <w:pPr>
        <w:spacing w:before="59"/>
        <w:ind w:left="1112" w:right="0" w:firstLine="0"/>
        <w:jc w:val="left"/>
        <w:rPr>
          <w:rFonts w:ascii="Arial"/>
          <w:sz w:val="22"/>
        </w:rPr>
      </w:pPr>
      <w:r>
        <w:rPr/>
        <w:pict>
          <v:shape style="position:absolute;margin-left:-8.504179pt;margin-top:-252.620407pt;width:81.75pt;height:491.65pt;mso-position-horizontal-relative:page;mso-position-vertical-relative:paragraph;z-index:-16055808" type="#_x0000_t202" filled="false" stroked="false">
            <v:textbox inset="0,0,0,0" style="layout-flow:vertical;mso-layout-flow-alt:bottom-to-top">
              <w:txbxContent>
                <w:p>
                  <w:pPr>
                    <w:spacing w:line="1615" w:lineRule="exact" w:before="0"/>
                    <w:ind w:left="20" w:right="0" w:firstLine="0"/>
                    <w:jc w:val="left"/>
                    <w:rPr>
                      <w:sz w:val="144"/>
                    </w:rPr>
                  </w:pPr>
                  <w:r>
                    <w:rPr>
                      <w:color w:val="7F7F7F"/>
                      <w:sz w:val="144"/>
                    </w:rPr>
                    <w:t>Accepted Article</w:t>
                  </w:r>
                </w:p>
              </w:txbxContent>
            </v:textbox>
            <w10:wrap type="none"/>
          </v:shape>
        </w:pict>
      </w:r>
      <w:r>
        <w:rPr>
          <w:rFonts w:ascii="Arial"/>
          <w:sz w:val="22"/>
        </w:rPr>
        <w:t>Fig. 1: CP/MAS spectra of pure hyaluronic acid (blue) and the dried hydrogel (black).</w:t>
      </w:r>
    </w:p>
    <w:p>
      <w:pPr>
        <w:spacing w:after="0"/>
        <w:jc w:val="left"/>
        <w:rPr>
          <w:rFonts w:ascii="Arial"/>
          <w:sz w:val="22"/>
        </w:rPr>
        <w:sectPr>
          <w:footerReference w:type="default" r:id="rId38"/>
          <w:pgSz w:w="11910" w:h="16840"/>
          <w:pgMar w:footer="461" w:header="0" w:top="1580" w:bottom="660" w:left="20" w:right="1020"/>
        </w:sectPr>
      </w:pPr>
    </w:p>
    <w:p>
      <w:pPr>
        <w:pStyle w:val="BodyText"/>
        <w:ind w:left="1381"/>
        <w:rPr>
          <w:rFonts w:ascii="Arial"/>
          <w:sz w:val="20"/>
        </w:rPr>
      </w:pPr>
      <w:r>
        <w:rPr>
          <w:rFonts w:ascii="Arial"/>
          <w:sz w:val="20"/>
        </w:rPr>
        <w:drawing>
          <wp:inline distT="0" distB="0" distL="0" distR="0">
            <wp:extent cx="5898143" cy="4425696"/>
            <wp:effectExtent l="0" t="0" r="0" b="0"/>
            <wp:docPr id="45" name="image4.jpeg"/>
            <wp:cNvGraphicFramePr>
              <a:graphicFrameLocks noChangeAspect="1"/>
            </wp:cNvGraphicFramePr>
            <a:graphic>
              <a:graphicData uri="http://schemas.openxmlformats.org/drawingml/2006/picture">
                <pic:pic>
                  <pic:nvPicPr>
                    <pic:cNvPr id="46" name="image4.jpeg"/>
                    <pic:cNvPicPr/>
                  </pic:nvPicPr>
                  <pic:blipFill>
                    <a:blip r:embed="rId40" cstate="print"/>
                    <a:stretch>
                      <a:fillRect/>
                    </a:stretch>
                  </pic:blipFill>
                  <pic:spPr>
                    <a:xfrm>
                      <a:off x="0" y="0"/>
                      <a:ext cx="5898143" cy="4425696"/>
                    </a:xfrm>
                    <a:prstGeom prst="rect">
                      <a:avLst/>
                    </a:prstGeom>
                  </pic:spPr>
                </pic:pic>
              </a:graphicData>
            </a:graphic>
          </wp:inline>
        </w:drawing>
      </w:r>
      <w:r>
        <w:rPr>
          <w:rFonts w:ascii="Arial"/>
          <w:sz w:val="20"/>
        </w:rPr>
      </w:r>
    </w:p>
    <w:p>
      <w:pPr>
        <w:spacing w:before="64"/>
        <w:ind w:left="1112" w:right="0" w:firstLine="0"/>
        <w:jc w:val="left"/>
        <w:rPr>
          <w:rFonts w:ascii="Arial" w:hAnsi="Arial"/>
          <w:sz w:val="22"/>
        </w:rPr>
      </w:pPr>
      <w:r>
        <w:rPr/>
        <w:pict>
          <v:shape style="position:absolute;margin-left:-8.504179pt;margin-top:-249.250412pt;width:81.75pt;height:491.65pt;mso-position-horizontal-relative:page;mso-position-vertical-relative:paragraph;z-index:-16054784" type="#_x0000_t202" filled="false" stroked="false">
            <v:textbox inset="0,0,0,0" style="layout-flow:vertical;mso-layout-flow-alt:bottom-to-top">
              <w:txbxContent>
                <w:p>
                  <w:pPr>
                    <w:spacing w:line="1615" w:lineRule="exact" w:before="0"/>
                    <w:ind w:left="20" w:right="0" w:firstLine="0"/>
                    <w:jc w:val="left"/>
                    <w:rPr>
                      <w:sz w:val="144"/>
                    </w:rPr>
                  </w:pPr>
                  <w:r>
                    <w:rPr>
                      <w:color w:val="7F7F7F"/>
                      <w:sz w:val="144"/>
                    </w:rPr>
                    <w:t>Accepted Article</w:t>
                  </w:r>
                </w:p>
              </w:txbxContent>
            </v:textbox>
            <w10:wrap type="none"/>
          </v:shape>
        </w:pict>
      </w:r>
      <w:r>
        <w:rPr>
          <w:rFonts w:ascii="Arial" w:hAnsi="Arial"/>
          <w:sz w:val="22"/>
        </w:rPr>
        <w:t>Figure 2: Curves obtained from the Frequency sweep test. 0.1-10Hz, 1%, 25 ° C</w:t>
      </w:r>
    </w:p>
    <w:p>
      <w:pPr>
        <w:pStyle w:val="BodyText"/>
        <w:spacing w:before="7"/>
        <w:rPr>
          <w:rFonts w:ascii="Arial"/>
          <w:sz w:val="22"/>
        </w:rPr>
      </w:pPr>
      <w:r>
        <w:rPr/>
        <w:drawing>
          <wp:anchor distT="0" distB="0" distL="0" distR="0" allowOverlap="1" layoutInCell="1" locked="0" behindDoc="0" simplePos="0" relativeHeight="23">
            <wp:simplePos x="0" y="0"/>
            <wp:positionH relativeFrom="page">
              <wp:posOffset>844407</wp:posOffset>
            </wp:positionH>
            <wp:positionV relativeFrom="paragraph">
              <wp:posOffset>190065</wp:posOffset>
            </wp:positionV>
            <wp:extent cx="5880475" cy="3822191"/>
            <wp:effectExtent l="0" t="0" r="0" b="0"/>
            <wp:wrapTopAndBottom/>
            <wp:docPr id="47" name="image5.jpeg"/>
            <wp:cNvGraphicFramePr>
              <a:graphicFrameLocks noChangeAspect="1"/>
            </wp:cNvGraphicFramePr>
            <a:graphic>
              <a:graphicData uri="http://schemas.openxmlformats.org/drawingml/2006/picture">
                <pic:pic>
                  <pic:nvPicPr>
                    <pic:cNvPr id="48" name="image5.jpeg"/>
                    <pic:cNvPicPr/>
                  </pic:nvPicPr>
                  <pic:blipFill>
                    <a:blip r:embed="rId41" cstate="print"/>
                    <a:stretch>
                      <a:fillRect/>
                    </a:stretch>
                  </pic:blipFill>
                  <pic:spPr>
                    <a:xfrm>
                      <a:off x="0" y="0"/>
                      <a:ext cx="5880475" cy="3822191"/>
                    </a:xfrm>
                    <a:prstGeom prst="rect">
                      <a:avLst/>
                    </a:prstGeom>
                  </pic:spPr>
                </pic:pic>
              </a:graphicData>
            </a:graphic>
          </wp:anchor>
        </w:drawing>
      </w:r>
    </w:p>
    <w:p>
      <w:pPr>
        <w:spacing w:before="0"/>
        <w:ind w:left="1112" w:right="0" w:firstLine="0"/>
        <w:jc w:val="left"/>
        <w:rPr>
          <w:rFonts w:ascii="Arial" w:hAnsi="Arial"/>
          <w:sz w:val="22"/>
        </w:rPr>
      </w:pPr>
      <w:r>
        <w:rPr>
          <w:rFonts w:ascii="Arial" w:hAnsi="Arial"/>
          <w:sz w:val="22"/>
        </w:rPr>
        <w:t>Figure</w:t>
      </w:r>
      <w:r>
        <w:rPr>
          <w:rFonts w:ascii="Arial" w:hAnsi="Arial"/>
          <w:spacing w:val="-44"/>
          <w:sz w:val="22"/>
        </w:rPr>
        <w:t> </w:t>
      </w:r>
      <w:r>
        <w:rPr>
          <w:rFonts w:ascii="Arial" w:hAnsi="Arial"/>
          <w:sz w:val="22"/>
        </w:rPr>
        <w:t>3:</w:t>
      </w:r>
      <w:r>
        <w:rPr>
          <w:rFonts w:ascii="Arial" w:hAnsi="Arial"/>
          <w:spacing w:val="-45"/>
          <w:sz w:val="22"/>
        </w:rPr>
        <w:t> </w:t>
      </w:r>
      <w:r>
        <w:rPr>
          <w:rFonts w:ascii="Arial" w:hAnsi="Arial"/>
          <w:sz w:val="22"/>
        </w:rPr>
        <w:t>Evolution</w:t>
      </w:r>
      <w:r>
        <w:rPr>
          <w:rFonts w:ascii="Arial" w:hAnsi="Arial"/>
          <w:spacing w:val="-44"/>
          <w:sz w:val="22"/>
        </w:rPr>
        <w:t> </w:t>
      </w:r>
      <w:r>
        <w:rPr>
          <w:rFonts w:ascii="Arial" w:hAnsi="Arial"/>
          <w:sz w:val="22"/>
        </w:rPr>
        <w:t>of</w:t>
      </w:r>
      <w:r>
        <w:rPr>
          <w:rFonts w:ascii="Arial" w:hAnsi="Arial"/>
          <w:spacing w:val="-45"/>
          <w:sz w:val="22"/>
        </w:rPr>
        <w:t> </w:t>
      </w:r>
      <w:r>
        <w:rPr>
          <w:rFonts w:ascii="Arial" w:hAnsi="Arial"/>
          <w:sz w:val="22"/>
        </w:rPr>
        <w:t>viscoelastic</w:t>
      </w:r>
      <w:r>
        <w:rPr>
          <w:rFonts w:ascii="Arial" w:hAnsi="Arial"/>
          <w:spacing w:val="-44"/>
          <w:sz w:val="22"/>
        </w:rPr>
        <w:t> </w:t>
      </w:r>
      <w:r>
        <w:rPr>
          <w:rFonts w:ascii="Arial" w:hAnsi="Arial"/>
          <w:sz w:val="22"/>
        </w:rPr>
        <w:t>parameters</w:t>
      </w:r>
      <w:r>
        <w:rPr>
          <w:rFonts w:ascii="Arial" w:hAnsi="Arial"/>
          <w:spacing w:val="-45"/>
          <w:sz w:val="22"/>
        </w:rPr>
        <w:t> </w:t>
      </w:r>
      <w:r>
        <w:rPr>
          <w:rFonts w:ascii="Arial" w:hAnsi="Arial"/>
          <w:sz w:val="22"/>
        </w:rPr>
        <w:t>depending</w:t>
      </w:r>
      <w:r>
        <w:rPr>
          <w:rFonts w:ascii="Arial" w:hAnsi="Arial"/>
          <w:spacing w:val="-45"/>
          <w:sz w:val="22"/>
        </w:rPr>
        <w:t> </w:t>
      </w:r>
      <w:r>
        <w:rPr>
          <w:rFonts w:ascii="Arial" w:hAnsi="Arial"/>
          <w:sz w:val="22"/>
        </w:rPr>
        <w:t>on</w:t>
      </w:r>
      <w:r>
        <w:rPr>
          <w:rFonts w:ascii="Arial" w:hAnsi="Arial"/>
          <w:spacing w:val="-44"/>
          <w:sz w:val="22"/>
        </w:rPr>
        <w:t> </w:t>
      </w:r>
      <w:r>
        <w:rPr>
          <w:rFonts w:ascii="Arial" w:hAnsi="Arial"/>
          <w:sz w:val="22"/>
        </w:rPr>
        <w:t>the</w:t>
      </w:r>
      <w:r>
        <w:rPr>
          <w:rFonts w:ascii="Arial" w:hAnsi="Arial"/>
          <w:spacing w:val="-45"/>
          <w:sz w:val="22"/>
        </w:rPr>
        <w:t> </w:t>
      </w:r>
      <w:r>
        <w:rPr>
          <w:rFonts w:ascii="Arial" w:hAnsi="Arial"/>
          <w:sz w:val="22"/>
        </w:rPr>
        <w:t>applied</w:t>
      </w:r>
      <w:r>
        <w:rPr>
          <w:rFonts w:ascii="Arial" w:hAnsi="Arial"/>
          <w:spacing w:val="-45"/>
          <w:sz w:val="22"/>
        </w:rPr>
        <w:t> </w:t>
      </w:r>
      <w:r>
        <w:rPr>
          <w:rFonts w:ascii="Arial" w:hAnsi="Arial"/>
          <w:sz w:val="22"/>
        </w:rPr>
        <w:t>stress,</w:t>
      </w:r>
      <w:r>
        <w:rPr>
          <w:rFonts w:ascii="Arial" w:hAnsi="Arial"/>
          <w:spacing w:val="-44"/>
          <w:sz w:val="22"/>
        </w:rPr>
        <w:t> </w:t>
      </w:r>
      <w:r>
        <w:rPr>
          <w:rFonts w:ascii="Arial" w:hAnsi="Arial"/>
          <w:sz w:val="22"/>
        </w:rPr>
        <w:t>0.01-2000%,</w:t>
      </w:r>
      <w:r>
        <w:rPr>
          <w:rFonts w:ascii="Arial" w:hAnsi="Arial"/>
          <w:spacing w:val="-45"/>
          <w:sz w:val="22"/>
        </w:rPr>
        <w:t> </w:t>
      </w:r>
      <w:r>
        <w:rPr>
          <w:rFonts w:ascii="Arial" w:hAnsi="Arial"/>
          <w:sz w:val="22"/>
        </w:rPr>
        <w:t>1Hz,</w:t>
      </w:r>
      <w:r>
        <w:rPr>
          <w:rFonts w:ascii="Arial" w:hAnsi="Arial"/>
          <w:spacing w:val="-44"/>
          <w:sz w:val="22"/>
        </w:rPr>
        <w:t> </w:t>
      </w:r>
      <w:r>
        <w:rPr>
          <w:rFonts w:ascii="Arial" w:hAnsi="Arial"/>
          <w:sz w:val="22"/>
        </w:rPr>
        <w:t>25</w:t>
      </w:r>
      <w:r>
        <w:rPr>
          <w:rFonts w:ascii="Arial" w:hAnsi="Arial"/>
          <w:spacing w:val="-44"/>
          <w:sz w:val="22"/>
        </w:rPr>
        <w:t> </w:t>
      </w:r>
      <w:r>
        <w:rPr>
          <w:rFonts w:ascii="Arial" w:hAnsi="Arial"/>
          <w:sz w:val="22"/>
        </w:rPr>
        <w:t>°</w:t>
      </w:r>
      <w:r>
        <w:rPr>
          <w:rFonts w:ascii="Arial" w:hAnsi="Arial"/>
          <w:spacing w:val="-44"/>
          <w:sz w:val="22"/>
        </w:rPr>
        <w:t> </w:t>
      </w:r>
      <w:r>
        <w:rPr>
          <w:rFonts w:ascii="Arial" w:hAnsi="Arial"/>
          <w:sz w:val="22"/>
        </w:rPr>
        <w:t>C.</w:t>
      </w:r>
    </w:p>
    <w:p>
      <w:pPr>
        <w:spacing w:after="0"/>
        <w:jc w:val="left"/>
        <w:rPr>
          <w:rFonts w:ascii="Arial" w:hAnsi="Arial"/>
          <w:sz w:val="22"/>
        </w:rPr>
        <w:sectPr>
          <w:pgSz w:w="11910" w:h="16840"/>
          <w:pgMar w:header="0" w:footer="461" w:top="1500" w:bottom="740" w:left="20" w:right="1020"/>
        </w:sectPr>
      </w:pPr>
    </w:p>
    <w:p>
      <w:pPr>
        <w:pStyle w:val="BodyText"/>
        <w:rPr>
          <w:rFonts w:ascii="Arial"/>
          <w:sz w:val="20"/>
        </w:rPr>
      </w:pPr>
    </w:p>
    <w:p>
      <w:pPr>
        <w:pStyle w:val="BodyText"/>
        <w:spacing w:before="9" w:after="1"/>
        <w:rPr>
          <w:rFonts w:ascii="Arial"/>
          <w:sz w:val="11"/>
        </w:rPr>
      </w:pPr>
    </w:p>
    <w:p>
      <w:pPr>
        <w:pStyle w:val="BodyText"/>
        <w:ind w:left="1277"/>
        <w:rPr>
          <w:rFonts w:ascii="Arial"/>
          <w:sz w:val="20"/>
        </w:rPr>
      </w:pPr>
      <w:r>
        <w:rPr>
          <w:rFonts w:ascii="Arial"/>
          <w:sz w:val="20"/>
        </w:rPr>
        <w:drawing>
          <wp:inline distT="0" distB="0" distL="0" distR="0">
            <wp:extent cx="5930341" cy="4325112"/>
            <wp:effectExtent l="0" t="0" r="0" b="0"/>
            <wp:docPr id="49" name="image6.jpeg"/>
            <wp:cNvGraphicFramePr>
              <a:graphicFrameLocks noChangeAspect="1"/>
            </wp:cNvGraphicFramePr>
            <a:graphic>
              <a:graphicData uri="http://schemas.openxmlformats.org/drawingml/2006/picture">
                <pic:pic>
                  <pic:nvPicPr>
                    <pic:cNvPr id="50" name="image6.jpeg"/>
                    <pic:cNvPicPr/>
                  </pic:nvPicPr>
                  <pic:blipFill>
                    <a:blip r:embed="rId42" cstate="print"/>
                    <a:stretch>
                      <a:fillRect/>
                    </a:stretch>
                  </pic:blipFill>
                  <pic:spPr>
                    <a:xfrm>
                      <a:off x="0" y="0"/>
                      <a:ext cx="5930341" cy="4325112"/>
                    </a:xfrm>
                    <a:prstGeom prst="rect">
                      <a:avLst/>
                    </a:prstGeom>
                  </pic:spPr>
                </pic:pic>
              </a:graphicData>
            </a:graphic>
          </wp:inline>
        </w:drawing>
      </w:r>
      <w:r>
        <w:rPr>
          <w:rFonts w:ascii="Arial"/>
          <w:sz w:val="20"/>
        </w:rPr>
      </w:r>
    </w:p>
    <w:p>
      <w:pPr>
        <w:pStyle w:val="BodyText"/>
        <w:rPr>
          <w:rFonts w:ascii="Arial"/>
          <w:sz w:val="20"/>
        </w:rPr>
      </w:pPr>
    </w:p>
    <w:p>
      <w:pPr>
        <w:pStyle w:val="BodyText"/>
        <w:spacing w:before="11"/>
        <w:rPr>
          <w:rFonts w:ascii="Arial"/>
          <w:sz w:val="22"/>
        </w:rPr>
      </w:pPr>
    </w:p>
    <w:p>
      <w:pPr>
        <w:spacing w:before="59"/>
        <w:ind w:left="1112" w:right="0" w:firstLine="0"/>
        <w:jc w:val="left"/>
        <w:rPr>
          <w:rFonts w:ascii="Arial"/>
          <w:sz w:val="22"/>
        </w:rPr>
      </w:pPr>
      <w:r>
        <w:rPr/>
        <w:pict>
          <v:shape style="position:absolute;margin-left:-8.504179pt;margin-top:-288.380402pt;width:81.75pt;height:491.65pt;mso-position-horizontal-relative:page;mso-position-vertical-relative:paragraph;z-index:-16054272" type="#_x0000_t202" filled="false" stroked="false">
            <v:textbox inset="0,0,0,0" style="layout-flow:vertical;mso-layout-flow-alt:bottom-to-top">
              <w:txbxContent>
                <w:p>
                  <w:pPr>
                    <w:spacing w:line="1615" w:lineRule="exact" w:before="0"/>
                    <w:ind w:left="20" w:right="0" w:firstLine="0"/>
                    <w:jc w:val="left"/>
                    <w:rPr>
                      <w:sz w:val="144"/>
                    </w:rPr>
                  </w:pPr>
                  <w:r>
                    <w:rPr>
                      <w:color w:val="7F7F7F"/>
                      <w:sz w:val="144"/>
                    </w:rPr>
                    <w:t>Accepted Article</w:t>
                  </w:r>
                </w:p>
              </w:txbxContent>
            </v:textbox>
            <w10:wrap type="none"/>
          </v:shape>
        </w:pict>
      </w:r>
      <w:r>
        <w:rPr>
          <w:rFonts w:ascii="Arial"/>
          <w:sz w:val="22"/>
        </w:rPr>
        <w:t>Figure 4: Typical force versus time plot of a compression cycle.</w:t>
      </w:r>
    </w:p>
    <w:p>
      <w:pPr>
        <w:spacing w:after="0"/>
        <w:jc w:val="left"/>
        <w:rPr>
          <w:rFonts w:ascii="Arial"/>
          <w:sz w:val="22"/>
        </w:rPr>
        <w:sectPr>
          <w:pgSz w:w="11910" w:h="16840"/>
          <w:pgMar w:header="0" w:footer="461" w:top="1580" w:bottom="740" w:left="20" w:right="1020"/>
        </w:sectPr>
      </w:pPr>
    </w:p>
    <w:p>
      <w:pPr>
        <w:pStyle w:val="BodyText"/>
        <w:ind w:left="1114"/>
        <w:rPr>
          <w:rFonts w:ascii="Arial"/>
          <w:sz w:val="20"/>
        </w:rPr>
      </w:pPr>
      <w:r>
        <w:rPr/>
        <w:pict>
          <v:shape style="position:absolute;margin-left:-8.504179pt;margin-top:175.181702pt;width:81.75pt;height:491.65pt;mso-position-horizontal-relative:page;mso-position-vertical-relative:page;z-index:-16053760" type="#_x0000_t202" filled="false" stroked="false">
            <v:textbox inset="0,0,0,0" style="layout-flow:vertical;mso-layout-flow-alt:bottom-to-top">
              <w:txbxContent>
                <w:p>
                  <w:pPr>
                    <w:spacing w:line="1615" w:lineRule="exact" w:before="0"/>
                    <w:ind w:left="20" w:right="0" w:firstLine="0"/>
                    <w:jc w:val="left"/>
                    <w:rPr>
                      <w:sz w:val="144"/>
                    </w:rPr>
                  </w:pPr>
                  <w:r>
                    <w:rPr>
                      <w:color w:val="7F7F7F"/>
                      <w:sz w:val="144"/>
                    </w:rPr>
                    <w:t>Accepted Article</w:t>
                  </w:r>
                </w:p>
              </w:txbxContent>
            </v:textbox>
            <w10:wrap type="none"/>
          </v:shape>
        </w:pict>
      </w:r>
      <w:r>
        <w:rPr>
          <w:rFonts w:ascii="Arial"/>
          <w:sz w:val="20"/>
        </w:rPr>
        <w:drawing>
          <wp:inline distT="0" distB="0" distL="0" distR="0">
            <wp:extent cx="6027820" cy="9035224"/>
            <wp:effectExtent l="0" t="0" r="0" b="0"/>
            <wp:docPr id="51" name="image7.png"/>
            <wp:cNvGraphicFramePr>
              <a:graphicFrameLocks noChangeAspect="1"/>
            </wp:cNvGraphicFramePr>
            <a:graphic>
              <a:graphicData uri="http://schemas.openxmlformats.org/drawingml/2006/picture">
                <pic:pic>
                  <pic:nvPicPr>
                    <pic:cNvPr id="52" name="image7.png"/>
                    <pic:cNvPicPr/>
                  </pic:nvPicPr>
                  <pic:blipFill>
                    <a:blip r:embed="rId43" cstate="print"/>
                    <a:stretch>
                      <a:fillRect/>
                    </a:stretch>
                  </pic:blipFill>
                  <pic:spPr>
                    <a:xfrm>
                      <a:off x="0" y="0"/>
                      <a:ext cx="6027820" cy="9035224"/>
                    </a:xfrm>
                    <a:prstGeom prst="rect">
                      <a:avLst/>
                    </a:prstGeom>
                  </pic:spPr>
                </pic:pic>
              </a:graphicData>
            </a:graphic>
          </wp:inline>
        </w:drawing>
      </w:r>
      <w:r>
        <w:rPr>
          <w:rFonts w:ascii="Arial"/>
          <w:sz w:val="20"/>
        </w:rPr>
      </w:r>
    </w:p>
    <w:p>
      <w:pPr>
        <w:spacing w:after="0"/>
        <w:rPr>
          <w:rFonts w:ascii="Arial"/>
          <w:sz w:val="20"/>
        </w:rPr>
        <w:sectPr>
          <w:pgSz w:w="11910" w:h="16840"/>
          <w:pgMar w:header="0" w:footer="461" w:top="1400" w:bottom="660" w:left="20" w:right="1020"/>
        </w:sectPr>
      </w:pPr>
    </w:p>
    <w:p>
      <w:pPr>
        <w:spacing w:line="276" w:lineRule="auto" w:before="38"/>
        <w:ind w:left="1112" w:right="0" w:firstLine="0"/>
        <w:jc w:val="left"/>
        <w:rPr>
          <w:rFonts w:ascii="Arial"/>
          <w:sz w:val="22"/>
        </w:rPr>
      </w:pPr>
      <w:r>
        <w:rPr>
          <w:rFonts w:ascii="Arial"/>
          <w:w w:val="95"/>
          <w:sz w:val="22"/>
        </w:rPr>
        <w:t>Figure</w:t>
      </w:r>
      <w:r>
        <w:rPr>
          <w:rFonts w:ascii="Arial"/>
          <w:spacing w:val="-24"/>
          <w:w w:val="95"/>
          <w:sz w:val="22"/>
        </w:rPr>
        <w:t> </w:t>
      </w:r>
      <w:r>
        <w:rPr>
          <w:rFonts w:ascii="Arial"/>
          <w:w w:val="95"/>
          <w:sz w:val="22"/>
        </w:rPr>
        <w:t>5:</w:t>
      </w:r>
      <w:r>
        <w:rPr>
          <w:rFonts w:ascii="Arial"/>
          <w:spacing w:val="-25"/>
          <w:w w:val="95"/>
          <w:sz w:val="22"/>
        </w:rPr>
        <w:t> </w:t>
      </w:r>
      <w:r>
        <w:rPr>
          <w:rFonts w:ascii="Arial"/>
          <w:w w:val="95"/>
          <w:sz w:val="22"/>
        </w:rPr>
        <w:t>A</w:t>
      </w:r>
      <w:r>
        <w:rPr>
          <w:rFonts w:ascii="Arial"/>
          <w:spacing w:val="-24"/>
          <w:w w:val="95"/>
          <w:sz w:val="22"/>
        </w:rPr>
        <w:t> </w:t>
      </w:r>
      <w:r>
        <w:rPr>
          <w:rFonts w:ascii="Arial"/>
          <w:w w:val="95"/>
          <w:sz w:val="22"/>
        </w:rPr>
        <w:t>and</w:t>
      </w:r>
      <w:r>
        <w:rPr>
          <w:rFonts w:ascii="Arial"/>
          <w:spacing w:val="-24"/>
          <w:w w:val="95"/>
          <w:sz w:val="22"/>
        </w:rPr>
        <w:t> </w:t>
      </w:r>
      <w:r>
        <w:rPr>
          <w:rFonts w:ascii="Arial"/>
          <w:w w:val="95"/>
          <w:sz w:val="22"/>
        </w:rPr>
        <w:t>B.</w:t>
      </w:r>
      <w:r>
        <w:rPr>
          <w:rFonts w:ascii="Arial"/>
          <w:spacing w:val="-24"/>
          <w:w w:val="95"/>
          <w:sz w:val="22"/>
        </w:rPr>
        <w:t> </w:t>
      </w:r>
      <w:r>
        <w:rPr>
          <w:rFonts w:ascii="Arial"/>
          <w:w w:val="95"/>
          <w:sz w:val="22"/>
        </w:rPr>
        <w:t>Hipodermis</w:t>
      </w:r>
      <w:r>
        <w:rPr>
          <w:rFonts w:ascii="Arial"/>
          <w:spacing w:val="-24"/>
          <w:w w:val="95"/>
          <w:sz w:val="22"/>
        </w:rPr>
        <w:t> </w:t>
      </w:r>
      <w:r>
        <w:rPr>
          <w:rFonts w:ascii="Arial"/>
          <w:w w:val="95"/>
          <w:sz w:val="22"/>
        </w:rPr>
        <w:t>sections</w:t>
      </w:r>
      <w:r>
        <w:rPr>
          <w:rFonts w:ascii="Arial"/>
          <w:spacing w:val="-24"/>
          <w:w w:val="95"/>
          <w:sz w:val="22"/>
        </w:rPr>
        <w:t> </w:t>
      </w:r>
      <w:r>
        <w:rPr>
          <w:rFonts w:ascii="Arial"/>
          <w:w w:val="95"/>
          <w:sz w:val="22"/>
        </w:rPr>
        <w:t>stained</w:t>
      </w:r>
      <w:r>
        <w:rPr>
          <w:rFonts w:ascii="Arial"/>
          <w:spacing w:val="-24"/>
          <w:w w:val="95"/>
          <w:sz w:val="22"/>
        </w:rPr>
        <w:t> </w:t>
      </w:r>
      <w:r>
        <w:rPr>
          <w:rFonts w:ascii="Arial"/>
          <w:w w:val="95"/>
          <w:sz w:val="22"/>
        </w:rPr>
        <w:t>respectively</w:t>
      </w:r>
      <w:r>
        <w:rPr>
          <w:rFonts w:ascii="Arial"/>
          <w:spacing w:val="-23"/>
          <w:w w:val="95"/>
          <w:sz w:val="22"/>
        </w:rPr>
        <w:t> </w:t>
      </w:r>
      <w:r>
        <w:rPr>
          <w:rFonts w:ascii="Arial"/>
          <w:w w:val="95"/>
          <w:sz w:val="22"/>
        </w:rPr>
        <w:t>A)</w:t>
      </w:r>
      <w:r>
        <w:rPr>
          <w:rFonts w:ascii="Arial"/>
          <w:spacing w:val="-25"/>
          <w:w w:val="95"/>
          <w:sz w:val="22"/>
        </w:rPr>
        <w:t> </w:t>
      </w:r>
      <w:r>
        <w:rPr>
          <w:rFonts w:ascii="Arial"/>
          <w:w w:val="95"/>
          <w:sz w:val="22"/>
        </w:rPr>
        <w:t>with</w:t>
      </w:r>
      <w:r>
        <w:rPr>
          <w:rFonts w:ascii="Arial"/>
          <w:spacing w:val="-24"/>
          <w:w w:val="95"/>
          <w:sz w:val="22"/>
        </w:rPr>
        <w:t> </w:t>
      </w:r>
      <w:r>
        <w:rPr>
          <w:rFonts w:ascii="Arial"/>
          <w:w w:val="95"/>
          <w:sz w:val="22"/>
        </w:rPr>
        <w:t>Hematoxylin</w:t>
      </w:r>
      <w:r>
        <w:rPr>
          <w:rFonts w:ascii="Arial"/>
          <w:spacing w:val="-25"/>
          <w:w w:val="95"/>
          <w:sz w:val="22"/>
        </w:rPr>
        <w:t> </w:t>
      </w:r>
      <w:r>
        <w:rPr>
          <w:rFonts w:ascii="Arial"/>
          <w:w w:val="95"/>
          <w:sz w:val="22"/>
        </w:rPr>
        <w:t>and</w:t>
      </w:r>
      <w:r>
        <w:rPr>
          <w:rFonts w:ascii="Arial"/>
          <w:spacing w:val="-24"/>
          <w:w w:val="95"/>
          <w:sz w:val="22"/>
        </w:rPr>
        <w:t> </w:t>
      </w:r>
      <w:r>
        <w:rPr>
          <w:rFonts w:ascii="Arial"/>
          <w:w w:val="95"/>
          <w:sz w:val="22"/>
        </w:rPr>
        <w:t>Eosin,</w:t>
      </w:r>
      <w:r>
        <w:rPr>
          <w:rFonts w:ascii="Arial"/>
          <w:spacing w:val="-24"/>
          <w:w w:val="95"/>
          <w:sz w:val="22"/>
        </w:rPr>
        <w:t> </w:t>
      </w:r>
      <w:r>
        <w:rPr>
          <w:rFonts w:ascii="Arial"/>
          <w:w w:val="95"/>
          <w:sz w:val="22"/>
        </w:rPr>
        <w:t>B)</w:t>
      </w:r>
      <w:r>
        <w:rPr>
          <w:rFonts w:ascii="Arial"/>
          <w:spacing w:val="-23"/>
          <w:w w:val="95"/>
          <w:sz w:val="22"/>
        </w:rPr>
        <w:t> </w:t>
      </w:r>
      <w:r>
        <w:rPr>
          <w:rFonts w:ascii="Arial"/>
          <w:w w:val="95"/>
          <w:sz w:val="22"/>
        </w:rPr>
        <w:t>with</w:t>
      </w:r>
      <w:r>
        <w:rPr>
          <w:rFonts w:ascii="Arial"/>
          <w:spacing w:val="-24"/>
          <w:w w:val="95"/>
          <w:sz w:val="22"/>
        </w:rPr>
        <w:t> </w:t>
      </w:r>
      <w:r>
        <w:rPr>
          <w:rFonts w:ascii="Arial"/>
          <w:w w:val="95"/>
          <w:sz w:val="22"/>
        </w:rPr>
        <w:t>Alcian Blue.</w:t>
      </w:r>
      <w:r>
        <w:rPr>
          <w:rFonts w:ascii="Arial"/>
          <w:spacing w:val="-20"/>
          <w:w w:val="95"/>
          <w:sz w:val="22"/>
        </w:rPr>
        <w:t> </w:t>
      </w:r>
      <w:r>
        <w:rPr>
          <w:rFonts w:ascii="Arial"/>
          <w:w w:val="95"/>
          <w:sz w:val="22"/>
        </w:rPr>
        <w:t>A)</w:t>
      </w:r>
      <w:r>
        <w:rPr>
          <w:rFonts w:ascii="Arial"/>
          <w:spacing w:val="-20"/>
          <w:w w:val="95"/>
          <w:sz w:val="22"/>
        </w:rPr>
        <w:t> </w:t>
      </w:r>
      <w:r>
        <w:rPr>
          <w:rFonts w:ascii="Arial"/>
          <w:w w:val="95"/>
          <w:sz w:val="22"/>
        </w:rPr>
        <w:t>The</w:t>
      </w:r>
      <w:r>
        <w:rPr>
          <w:rFonts w:ascii="Arial"/>
          <w:spacing w:val="-21"/>
          <w:w w:val="95"/>
          <w:sz w:val="22"/>
        </w:rPr>
        <w:t> </w:t>
      </w:r>
      <w:r>
        <w:rPr>
          <w:rFonts w:ascii="Arial"/>
          <w:w w:val="95"/>
          <w:sz w:val="22"/>
        </w:rPr>
        <w:t>filler</w:t>
      </w:r>
      <w:r>
        <w:rPr>
          <w:rFonts w:ascii="Arial"/>
          <w:spacing w:val="-18"/>
          <w:w w:val="95"/>
          <w:sz w:val="22"/>
        </w:rPr>
        <w:t> </w:t>
      </w:r>
      <w:r>
        <w:rPr>
          <w:rFonts w:ascii="Arial"/>
          <w:w w:val="95"/>
          <w:sz w:val="22"/>
        </w:rPr>
        <w:t>appears</w:t>
      </w:r>
      <w:r>
        <w:rPr>
          <w:rFonts w:ascii="Arial"/>
          <w:spacing w:val="-20"/>
          <w:w w:val="95"/>
          <w:sz w:val="22"/>
        </w:rPr>
        <w:t> </w:t>
      </w:r>
      <w:r>
        <w:rPr>
          <w:rFonts w:ascii="Arial"/>
          <w:w w:val="95"/>
          <w:sz w:val="22"/>
        </w:rPr>
        <w:t>faintly</w:t>
      </w:r>
      <w:r>
        <w:rPr>
          <w:rFonts w:ascii="Arial"/>
          <w:spacing w:val="-19"/>
          <w:w w:val="95"/>
          <w:sz w:val="22"/>
        </w:rPr>
        <w:t> </w:t>
      </w:r>
      <w:r>
        <w:rPr>
          <w:rFonts w:ascii="Arial"/>
          <w:w w:val="95"/>
          <w:sz w:val="22"/>
        </w:rPr>
        <w:t>blue</w:t>
      </w:r>
      <w:r>
        <w:rPr>
          <w:rFonts w:ascii="Arial"/>
          <w:spacing w:val="-19"/>
          <w:w w:val="95"/>
          <w:sz w:val="22"/>
        </w:rPr>
        <w:t> </w:t>
      </w:r>
      <w:r>
        <w:rPr>
          <w:rFonts w:ascii="Arial"/>
          <w:w w:val="95"/>
          <w:sz w:val="22"/>
        </w:rPr>
        <w:t>stained</w:t>
      </w:r>
      <w:r>
        <w:rPr>
          <w:rFonts w:ascii="Arial"/>
          <w:spacing w:val="-19"/>
          <w:w w:val="95"/>
          <w:sz w:val="22"/>
        </w:rPr>
        <w:t> </w:t>
      </w:r>
      <w:r>
        <w:rPr>
          <w:rFonts w:ascii="Arial"/>
          <w:w w:val="95"/>
          <w:sz w:val="22"/>
        </w:rPr>
        <w:t>(asterisks)</w:t>
      </w:r>
      <w:r>
        <w:rPr>
          <w:rFonts w:ascii="Arial"/>
          <w:spacing w:val="-19"/>
          <w:w w:val="95"/>
          <w:sz w:val="22"/>
        </w:rPr>
        <w:t> </w:t>
      </w:r>
      <w:r>
        <w:rPr>
          <w:rFonts w:ascii="Arial"/>
          <w:w w:val="95"/>
          <w:sz w:val="22"/>
        </w:rPr>
        <w:t>in</w:t>
      </w:r>
      <w:r>
        <w:rPr>
          <w:rFonts w:ascii="Arial"/>
          <w:spacing w:val="-20"/>
          <w:w w:val="95"/>
          <w:sz w:val="22"/>
        </w:rPr>
        <w:t> </w:t>
      </w:r>
      <w:r>
        <w:rPr>
          <w:rFonts w:ascii="Arial"/>
          <w:w w:val="95"/>
          <w:sz w:val="22"/>
        </w:rPr>
        <w:t>the</w:t>
      </w:r>
      <w:r>
        <w:rPr>
          <w:rFonts w:ascii="Arial"/>
          <w:spacing w:val="-19"/>
          <w:w w:val="95"/>
          <w:sz w:val="22"/>
        </w:rPr>
        <w:t> </w:t>
      </w:r>
      <w:r>
        <w:rPr>
          <w:rFonts w:ascii="Arial"/>
          <w:w w:val="95"/>
          <w:sz w:val="22"/>
        </w:rPr>
        <w:t>interstitial</w:t>
      </w:r>
      <w:r>
        <w:rPr>
          <w:rFonts w:ascii="Arial"/>
          <w:spacing w:val="-19"/>
          <w:w w:val="95"/>
          <w:sz w:val="22"/>
        </w:rPr>
        <w:t> </w:t>
      </w:r>
      <w:r>
        <w:rPr>
          <w:rFonts w:ascii="Arial"/>
          <w:w w:val="95"/>
          <w:sz w:val="22"/>
        </w:rPr>
        <w:t>ground</w:t>
      </w:r>
      <w:r>
        <w:rPr>
          <w:rFonts w:ascii="Arial"/>
          <w:spacing w:val="-20"/>
          <w:w w:val="95"/>
          <w:sz w:val="22"/>
        </w:rPr>
        <w:t> </w:t>
      </w:r>
      <w:r>
        <w:rPr>
          <w:rFonts w:ascii="Arial"/>
          <w:w w:val="95"/>
          <w:sz w:val="22"/>
        </w:rPr>
        <w:t>matrix,</w:t>
      </w:r>
      <w:r>
        <w:rPr>
          <w:rFonts w:ascii="Arial"/>
          <w:spacing w:val="-19"/>
          <w:w w:val="95"/>
          <w:sz w:val="22"/>
        </w:rPr>
        <w:t> </w:t>
      </w:r>
      <w:r>
        <w:rPr>
          <w:rFonts w:ascii="Arial"/>
          <w:w w:val="95"/>
          <w:sz w:val="22"/>
        </w:rPr>
        <w:t>between</w:t>
      </w:r>
      <w:r>
        <w:rPr>
          <w:rFonts w:ascii="Arial"/>
          <w:spacing w:val="-19"/>
          <w:w w:val="95"/>
          <w:sz w:val="22"/>
        </w:rPr>
        <w:t> </w:t>
      </w:r>
      <w:r>
        <w:rPr>
          <w:rFonts w:ascii="Arial"/>
          <w:w w:val="95"/>
          <w:sz w:val="22"/>
        </w:rPr>
        <w:t>collagen fibres</w:t>
      </w:r>
      <w:r>
        <w:rPr>
          <w:rFonts w:ascii="Arial"/>
          <w:spacing w:val="-29"/>
          <w:w w:val="95"/>
          <w:sz w:val="22"/>
        </w:rPr>
        <w:t> </w:t>
      </w:r>
      <w:r>
        <w:rPr>
          <w:rFonts w:ascii="Arial"/>
          <w:w w:val="95"/>
          <w:sz w:val="22"/>
        </w:rPr>
        <w:t>(red),</w:t>
      </w:r>
      <w:r>
        <w:rPr>
          <w:rFonts w:ascii="Arial"/>
          <w:spacing w:val="-30"/>
          <w:w w:val="95"/>
          <w:sz w:val="22"/>
        </w:rPr>
        <w:t> </w:t>
      </w:r>
      <w:r>
        <w:rPr>
          <w:rFonts w:ascii="Arial"/>
          <w:w w:val="95"/>
          <w:sz w:val="22"/>
        </w:rPr>
        <w:t>some</w:t>
      </w:r>
      <w:r>
        <w:rPr>
          <w:rFonts w:ascii="Arial"/>
          <w:spacing w:val="-29"/>
          <w:w w:val="95"/>
          <w:sz w:val="22"/>
        </w:rPr>
        <w:t> </w:t>
      </w:r>
      <w:r>
        <w:rPr>
          <w:rFonts w:ascii="Arial"/>
          <w:w w:val="95"/>
          <w:sz w:val="22"/>
        </w:rPr>
        <w:t>excretory</w:t>
      </w:r>
      <w:r>
        <w:rPr>
          <w:rFonts w:ascii="Arial"/>
          <w:spacing w:val="-26"/>
          <w:w w:val="95"/>
          <w:sz w:val="22"/>
        </w:rPr>
        <w:t> </w:t>
      </w:r>
      <w:r>
        <w:rPr>
          <w:rFonts w:ascii="Arial"/>
          <w:w w:val="95"/>
          <w:sz w:val="22"/>
        </w:rPr>
        <w:t>tubules</w:t>
      </w:r>
      <w:r>
        <w:rPr>
          <w:rFonts w:ascii="Arial"/>
          <w:spacing w:val="-30"/>
          <w:w w:val="95"/>
          <w:sz w:val="22"/>
        </w:rPr>
        <w:t> </w:t>
      </w:r>
      <w:r>
        <w:rPr>
          <w:rFonts w:ascii="Arial"/>
          <w:w w:val="95"/>
          <w:sz w:val="22"/>
        </w:rPr>
        <w:t>of</w:t>
      </w:r>
      <w:r>
        <w:rPr>
          <w:rFonts w:ascii="Arial"/>
          <w:spacing w:val="-29"/>
          <w:w w:val="95"/>
          <w:sz w:val="22"/>
        </w:rPr>
        <w:t> </w:t>
      </w:r>
      <w:r>
        <w:rPr>
          <w:rFonts w:ascii="Arial"/>
          <w:w w:val="95"/>
          <w:sz w:val="22"/>
        </w:rPr>
        <w:t>sweat</w:t>
      </w:r>
      <w:r>
        <w:rPr>
          <w:rFonts w:ascii="Arial"/>
          <w:spacing w:val="-28"/>
          <w:w w:val="95"/>
          <w:sz w:val="22"/>
        </w:rPr>
        <w:t> </w:t>
      </w:r>
      <w:r>
        <w:rPr>
          <w:rFonts w:ascii="Arial"/>
          <w:w w:val="95"/>
          <w:sz w:val="22"/>
        </w:rPr>
        <w:t>glands</w:t>
      </w:r>
      <w:r>
        <w:rPr>
          <w:rFonts w:ascii="Arial"/>
          <w:spacing w:val="-29"/>
          <w:w w:val="95"/>
          <w:sz w:val="22"/>
        </w:rPr>
        <w:t> </w:t>
      </w:r>
      <w:r>
        <w:rPr>
          <w:rFonts w:ascii="Arial"/>
          <w:w w:val="95"/>
          <w:sz w:val="22"/>
        </w:rPr>
        <w:t>transversaly</w:t>
      </w:r>
      <w:r>
        <w:rPr>
          <w:rFonts w:ascii="Arial"/>
          <w:spacing w:val="-29"/>
          <w:w w:val="95"/>
          <w:sz w:val="22"/>
        </w:rPr>
        <w:t> </w:t>
      </w:r>
      <w:r>
        <w:rPr>
          <w:rFonts w:ascii="Arial"/>
          <w:w w:val="95"/>
          <w:sz w:val="22"/>
        </w:rPr>
        <w:t>sectioned</w:t>
      </w:r>
      <w:r>
        <w:rPr>
          <w:rFonts w:ascii="Arial"/>
          <w:spacing w:val="-29"/>
          <w:w w:val="95"/>
          <w:sz w:val="22"/>
        </w:rPr>
        <w:t> </w:t>
      </w:r>
      <w:r>
        <w:rPr>
          <w:rFonts w:ascii="Arial"/>
          <w:w w:val="95"/>
          <w:sz w:val="22"/>
        </w:rPr>
        <w:t>(arrows),</w:t>
      </w:r>
      <w:r>
        <w:rPr>
          <w:rFonts w:ascii="Arial"/>
          <w:spacing w:val="-28"/>
          <w:w w:val="95"/>
          <w:sz w:val="22"/>
        </w:rPr>
        <w:t> </w:t>
      </w:r>
      <w:r>
        <w:rPr>
          <w:rFonts w:ascii="Arial"/>
          <w:w w:val="95"/>
          <w:sz w:val="22"/>
        </w:rPr>
        <w:t>single</w:t>
      </w:r>
      <w:r>
        <w:rPr>
          <w:rFonts w:ascii="Arial"/>
          <w:spacing w:val="-30"/>
          <w:w w:val="95"/>
          <w:sz w:val="22"/>
        </w:rPr>
        <w:t> </w:t>
      </w:r>
      <w:r>
        <w:rPr>
          <w:rFonts w:ascii="Arial"/>
          <w:w w:val="95"/>
          <w:sz w:val="22"/>
        </w:rPr>
        <w:t>adipocytes</w:t>
      </w:r>
      <w:r>
        <w:rPr>
          <w:rFonts w:ascii="Arial"/>
          <w:spacing w:val="-29"/>
          <w:w w:val="95"/>
          <w:sz w:val="22"/>
        </w:rPr>
        <w:t> </w:t>
      </w:r>
      <w:r>
        <w:rPr>
          <w:rFonts w:ascii="Arial"/>
          <w:w w:val="95"/>
          <w:sz w:val="22"/>
        </w:rPr>
        <w:t>and </w:t>
      </w:r>
      <w:r>
        <w:rPr>
          <w:rFonts w:ascii="Arial"/>
          <w:sz w:val="22"/>
        </w:rPr>
        <w:t>vessels. Fainty blue areas appear closely associated and integrated, without any encapsulation or discontinuity,</w:t>
      </w:r>
      <w:r>
        <w:rPr>
          <w:rFonts w:ascii="Arial"/>
          <w:spacing w:val="-16"/>
          <w:sz w:val="22"/>
        </w:rPr>
        <w:t> </w:t>
      </w:r>
      <w:r>
        <w:rPr>
          <w:rFonts w:ascii="Arial"/>
          <w:sz w:val="22"/>
        </w:rPr>
        <w:t>with</w:t>
      </w:r>
      <w:r>
        <w:rPr>
          <w:rFonts w:ascii="Arial"/>
          <w:spacing w:val="-16"/>
          <w:sz w:val="22"/>
        </w:rPr>
        <w:t> </w:t>
      </w:r>
      <w:r>
        <w:rPr>
          <w:rFonts w:ascii="Arial"/>
          <w:sz w:val="22"/>
        </w:rPr>
        <w:t>the</w:t>
      </w:r>
      <w:r>
        <w:rPr>
          <w:rFonts w:ascii="Arial"/>
          <w:spacing w:val="-14"/>
          <w:sz w:val="22"/>
        </w:rPr>
        <w:t> </w:t>
      </w:r>
      <w:r>
        <w:rPr>
          <w:rFonts w:ascii="Arial"/>
          <w:sz w:val="22"/>
        </w:rPr>
        <w:t>cited</w:t>
      </w:r>
      <w:r>
        <w:rPr>
          <w:rFonts w:ascii="Arial"/>
          <w:spacing w:val="-13"/>
          <w:sz w:val="22"/>
        </w:rPr>
        <w:t> </w:t>
      </w:r>
      <w:r>
        <w:rPr>
          <w:rFonts w:ascii="Arial"/>
          <w:sz w:val="22"/>
        </w:rPr>
        <w:t>structures.</w:t>
      </w:r>
    </w:p>
    <w:p>
      <w:pPr>
        <w:spacing w:line="276" w:lineRule="auto" w:before="156"/>
        <w:ind w:left="1112" w:right="100" w:firstLine="0"/>
        <w:jc w:val="left"/>
        <w:rPr>
          <w:rFonts w:ascii="Arial" w:hAnsi="Arial"/>
          <w:sz w:val="22"/>
        </w:rPr>
      </w:pPr>
      <w:r>
        <w:rPr/>
        <w:pict>
          <v:shape style="position:absolute;margin-left:-8.504179pt;margin-top:31.639601pt;width:81.75pt;height:491.65pt;mso-position-horizontal-relative:page;mso-position-vertical-relative:paragraph;z-index:-16053248" type="#_x0000_t202" filled="false" stroked="false">
            <v:textbox inset="0,0,0,0" style="layout-flow:vertical;mso-layout-flow-alt:bottom-to-top">
              <w:txbxContent>
                <w:p>
                  <w:pPr>
                    <w:spacing w:line="1615" w:lineRule="exact" w:before="0"/>
                    <w:ind w:left="20" w:right="0" w:firstLine="0"/>
                    <w:jc w:val="left"/>
                    <w:rPr>
                      <w:sz w:val="144"/>
                    </w:rPr>
                  </w:pPr>
                  <w:r>
                    <w:rPr>
                      <w:color w:val="7F7F7F"/>
                      <w:sz w:val="144"/>
                    </w:rPr>
                    <w:t>Accepted Article</w:t>
                  </w:r>
                </w:p>
              </w:txbxContent>
            </v:textbox>
            <w10:wrap type="none"/>
          </v:shape>
        </w:pict>
      </w:r>
      <w:r>
        <w:rPr>
          <w:rFonts w:ascii="Arial" w:hAnsi="Arial"/>
          <w:sz w:val="22"/>
        </w:rPr>
        <w:t>Figure</w:t>
      </w:r>
      <w:r>
        <w:rPr>
          <w:rFonts w:ascii="Arial" w:hAnsi="Arial"/>
          <w:spacing w:val="-32"/>
          <w:sz w:val="22"/>
        </w:rPr>
        <w:t> </w:t>
      </w:r>
      <w:r>
        <w:rPr>
          <w:rFonts w:ascii="Arial" w:hAnsi="Arial"/>
          <w:sz w:val="22"/>
        </w:rPr>
        <w:t>5</w:t>
      </w:r>
      <w:r>
        <w:rPr>
          <w:rFonts w:ascii="Arial" w:hAnsi="Arial"/>
          <w:spacing w:val="-31"/>
          <w:sz w:val="22"/>
        </w:rPr>
        <w:t> </w:t>
      </w:r>
      <w:r>
        <w:rPr>
          <w:rFonts w:ascii="Arial" w:hAnsi="Arial"/>
          <w:sz w:val="22"/>
        </w:rPr>
        <w:t>B)</w:t>
      </w:r>
      <w:r>
        <w:rPr>
          <w:rFonts w:ascii="Arial" w:hAnsi="Arial"/>
          <w:spacing w:val="-33"/>
          <w:sz w:val="22"/>
        </w:rPr>
        <w:t> </w:t>
      </w:r>
      <w:r>
        <w:rPr>
          <w:rFonts w:ascii="Arial" w:hAnsi="Arial"/>
          <w:sz w:val="22"/>
        </w:rPr>
        <w:t>In</w:t>
      </w:r>
      <w:r>
        <w:rPr>
          <w:rFonts w:ascii="Arial" w:hAnsi="Arial"/>
          <w:spacing w:val="-32"/>
          <w:sz w:val="22"/>
        </w:rPr>
        <w:t> </w:t>
      </w:r>
      <w:r>
        <w:rPr>
          <w:rFonts w:ascii="Arial" w:hAnsi="Arial"/>
          <w:sz w:val="22"/>
        </w:rPr>
        <w:t>the</w:t>
      </w:r>
      <w:r>
        <w:rPr>
          <w:rFonts w:ascii="Arial" w:hAnsi="Arial"/>
          <w:spacing w:val="-32"/>
          <w:sz w:val="22"/>
        </w:rPr>
        <w:t> </w:t>
      </w:r>
      <w:r>
        <w:rPr>
          <w:rFonts w:ascii="Arial" w:hAnsi="Arial"/>
          <w:sz w:val="22"/>
        </w:rPr>
        <w:t>right</w:t>
      </w:r>
      <w:r>
        <w:rPr>
          <w:rFonts w:ascii="Arial" w:hAnsi="Arial"/>
          <w:spacing w:val="-33"/>
          <w:sz w:val="22"/>
        </w:rPr>
        <w:t> </w:t>
      </w:r>
      <w:r>
        <w:rPr>
          <w:rFonts w:ascii="Arial" w:hAnsi="Arial"/>
          <w:sz w:val="22"/>
        </w:rPr>
        <w:t>high</w:t>
      </w:r>
      <w:r>
        <w:rPr>
          <w:rFonts w:ascii="Arial" w:hAnsi="Arial"/>
          <w:spacing w:val="-32"/>
          <w:sz w:val="22"/>
        </w:rPr>
        <w:t> </w:t>
      </w:r>
      <w:r>
        <w:rPr>
          <w:rFonts w:ascii="Arial" w:hAnsi="Arial"/>
          <w:sz w:val="22"/>
        </w:rPr>
        <w:t>part</w:t>
      </w:r>
      <w:r>
        <w:rPr>
          <w:rFonts w:ascii="Arial" w:hAnsi="Arial"/>
          <w:spacing w:val="-32"/>
          <w:sz w:val="22"/>
        </w:rPr>
        <w:t> </w:t>
      </w:r>
      <w:r>
        <w:rPr>
          <w:rFonts w:ascii="Arial" w:hAnsi="Arial"/>
          <w:sz w:val="22"/>
        </w:rPr>
        <w:t>of</w:t>
      </w:r>
      <w:r>
        <w:rPr>
          <w:rFonts w:ascii="Arial" w:hAnsi="Arial"/>
          <w:spacing w:val="-33"/>
          <w:sz w:val="22"/>
        </w:rPr>
        <w:t> </w:t>
      </w:r>
      <w:r>
        <w:rPr>
          <w:rFonts w:ascii="Arial" w:hAnsi="Arial"/>
          <w:sz w:val="22"/>
        </w:rPr>
        <w:t>the</w:t>
      </w:r>
      <w:r>
        <w:rPr>
          <w:rFonts w:ascii="Arial" w:hAnsi="Arial"/>
          <w:spacing w:val="-33"/>
          <w:sz w:val="22"/>
        </w:rPr>
        <w:t> </w:t>
      </w:r>
      <w:r>
        <w:rPr>
          <w:rFonts w:ascii="Arial" w:hAnsi="Arial"/>
          <w:sz w:val="22"/>
        </w:rPr>
        <w:t>micrograph,</w:t>
      </w:r>
      <w:r>
        <w:rPr>
          <w:rFonts w:ascii="Arial" w:hAnsi="Arial"/>
          <w:spacing w:val="-32"/>
          <w:sz w:val="22"/>
        </w:rPr>
        <w:t> </w:t>
      </w:r>
      <w:r>
        <w:rPr>
          <w:rFonts w:ascii="Arial" w:hAnsi="Arial"/>
          <w:sz w:val="22"/>
        </w:rPr>
        <w:t>the</w:t>
      </w:r>
      <w:r>
        <w:rPr>
          <w:rFonts w:ascii="Arial" w:hAnsi="Arial"/>
          <w:spacing w:val="-33"/>
          <w:sz w:val="22"/>
        </w:rPr>
        <w:t> </w:t>
      </w:r>
      <w:r>
        <w:rPr>
          <w:rFonts w:ascii="Arial" w:hAnsi="Arial"/>
          <w:sz w:val="22"/>
        </w:rPr>
        <w:t>intensely</w:t>
      </w:r>
      <w:r>
        <w:rPr>
          <w:rFonts w:ascii="Arial" w:hAnsi="Arial"/>
          <w:spacing w:val="-31"/>
          <w:sz w:val="22"/>
        </w:rPr>
        <w:t> </w:t>
      </w:r>
      <w:r>
        <w:rPr>
          <w:rFonts w:ascii="Arial" w:hAnsi="Arial"/>
          <w:sz w:val="22"/>
        </w:rPr>
        <w:t>blue</w:t>
      </w:r>
      <w:r>
        <w:rPr>
          <w:rFonts w:ascii="Arial" w:hAnsi="Arial"/>
          <w:spacing w:val="-33"/>
          <w:sz w:val="22"/>
        </w:rPr>
        <w:t> </w:t>
      </w:r>
      <w:r>
        <w:rPr>
          <w:rFonts w:ascii="Arial" w:hAnsi="Arial"/>
          <w:sz w:val="22"/>
        </w:rPr>
        <w:t>stained</w:t>
      </w:r>
      <w:r>
        <w:rPr>
          <w:rFonts w:ascii="Arial" w:hAnsi="Arial"/>
          <w:spacing w:val="-32"/>
          <w:sz w:val="22"/>
        </w:rPr>
        <w:t> </w:t>
      </w:r>
      <w:r>
        <w:rPr>
          <w:rFonts w:ascii="Arial" w:hAnsi="Arial"/>
          <w:sz w:val="22"/>
        </w:rPr>
        <w:t>area</w:t>
      </w:r>
      <w:r>
        <w:rPr>
          <w:rFonts w:ascii="Arial" w:hAnsi="Arial"/>
          <w:spacing w:val="-32"/>
          <w:sz w:val="22"/>
        </w:rPr>
        <w:t> </w:t>
      </w:r>
      <w:r>
        <w:rPr>
          <w:rFonts w:ascii="Arial" w:hAnsi="Arial"/>
          <w:sz w:val="22"/>
        </w:rPr>
        <w:t>is</w:t>
      </w:r>
      <w:r>
        <w:rPr>
          <w:rFonts w:ascii="Arial" w:hAnsi="Arial"/>
          <w:spacing w:val="-31"/>
          <w:sz w:val="22"/>
        </w:rPr>
        <w:t> </w:t>
      </w:r>
      <w:r>
        <w:rPr>
          <w:rFonts w:ascii="Arial" w:hAnsi="Arial"/>
          <w:sz w:val="22"/>
        </w:rPr>
        <w:t>representing</w:t>
      </w:r>
      <w:r>
        <w:rPr>
          <w:rFonts w:ascii="Arial" w:hAnsi="Arial"/>
          <w:spacing w:val="-34"/>
          <w:sz w:val="22"/>
        </w:rPr>
        <w:t> </w:t>
      </w:r>
      <w:r>
        <w:rPr>
          <w:rFonts w:ascii="Arial" w:hAnsi="Arial"/>
          <w:sz w:val="22"/>
        </w:rPr>
        <w:t>the </w:t>
      </w:r>
      <w:r>
        <w:rPr>
          <w:rFonts w:ascii="Arial" w:hAnsi="Arial"/>
          <w:w w:val="95"/>
          <w:sz w:val="22"/>
        </w:rPr>
        <w:t>injected</w:t>
      </w:r>
      <w:r>
        <w:rPr>
          <w:rFonts w:ascii="Arial" w:hAnsi="Arial"/>
          <w:spacing w:val="-20"/>
          <w:w w:val="95"/>
          <w:sz w:val="22"/>
        </w:rPr>
        <w:t> </w:t>
      </w:r>
      <w:r>
        <w:rPr>
          <w:rFonts w:ascii="Arial" w:hAnsi="Arial"/>
          <w:w w:val="95"/>
          <w:sz w:val="22"/>
        </w:rPr>
        <w:t>filler</w:t>
      </w:r>
      <w:r>
        <w:rPr>
          <w:rFonts w:ascii="Arial" w:hAnsi="Arial"/>
          <w:spacing w:val="-18"/>
          <w:w w:val="95"/>
          <w:sz w:val="22"/>
        </w:rPr>
        <w:t> </w:t>
      </w:r>
      <w:r>
        <w:rPr>
          <w:rFonts w:ascii="Arial" w:hAnsi="Arial"/>
          <w:w w:val="95"/>
          <w:sz w:val="22"/>
        </w:rPr>
        <w:t>finely</w:t>
      </w:r>
      <w:r>
        <w:rPr>
          <w:rFonts w:ascii="Arial" w:hAnsi="Arial"/>
          <w:spacing w:val="-18"/>
          <w:w w:val="95"/>
          <w:sz w:val="22"/>
        </w:rPr>
        <w:t> </w:t>
      </w:r>
      <w:r>
        <w:rPr>
          <w:rFonts w:ascii="Arial" w:hAnsi="Arial"/>
          <w:w w:val="95"/>
          <w:sz w:val="22"/>
        </w:rPr>
        <w:t>intermingled</w:t>
      </w:r>
      <w:r>
        <w:rPr>
          <w:rFonts w:ascii="Arial" w:hAnsi="Arial"/>
          <w:spacing w:val="-19"/>
          <w:w w:val="95"/>
          <w:sz w:val="22"/>
        </w:rPr>
        <w:t> </w:t>
      </w:r>
      <w:r>
        <w:rPr>
          <w:rFonts w:ascii="Arial" w:hAnsi="Arial"/>
          <w:w w:val="95"/>
          <w:sz w:val="22"/>
        </w:rPr>
        <w:t>with</w:t>
      </w:r>
      <w:r>
        <w:rPr>
          <w:rFonts w:ascii="Arial" w:hAnsi="Arial"/>
          <w:spacing w:val="-19"/>
          <w:w w:val="95"/>
          <w:sz w:val="22"/>
        </w:rPr>
        <w:t> </w:t>
      </w:r>
      <w:r>
        <w:rPr>
          <w:rFonts w:ascii="Arial" w:hAnsi="Arial"/>
          <w:w w:val="95"/>
          <w:sz w:val="22"/>
        </w:rPr>
        <w:t>thin</w:t>
      </w:r>
      <w:r>
        <w:rPr>
          <w:rFonts w:ascii="Arial" w:hAnsi="Arial"/>
          <w:spacing w:val="-20"/>
          <w:w w:val="95"/>
          <w:sz w:val="22"/>
        </w:rPr>
        <w:t> </w:t>
      </w:r>
      <w:r>
        <w:rPr>
          <w:rFonts w:ascii="Arial" w:hAnsi="Arial"/>
          <w:w w:val="95"/>
          <w:sz w:val="22"/>
        </w:rPr>
        <w:t>collagen</w:t>
      </w:r>
      <w:r>
        <w:rPr>
          <w:rFonts w:ascii="Arial" w:hAnsi="Arial"/>
          <w:spacing w:val="-19"/>
          <w:w w:val="95"/>
          <w:sz w:val="22"/>
        </w:rPr>
        <w:t> </w:t>
      </w:r>
      <w:r>
        <w:rPr>
          <w:rFonts w:ascii="Arial" w:hAnsi="Arial"/>
          <w:w w:val="95"/>
          <w:sz w:val="22"/>
        </w:rPr>
        <w:t>fibres,</w:t>
      </w:r>
      <w:r>
        <w:rPr>
          <w:rFonts w:ascii="Arial" w:hAnsi="Arial"/>
          <w:spacing w:val="-19"/>
          <w:w w:val="95"/>
          <w:sz w:val="22"/>
        </w:rPr>
        <w:t> </w:t>
      </w:r>
      <w:r>
        <w:rPr>
          <w:rFonts w:ascii="Arial" w:hAnsi="Arial"/>
          <w:w w:val="95"/>
          <w:sz w:val="22"/>
        </w:rPr>
        <w:t>appearing</w:t>
      </w:r>
      <w:r>
        <w:rPr>
          <w:rFonts w:ascii="Arial" w:hAnsi="Arial"/>
          <w:spacing w:val="-20"/>
          <w:w w:val="95"/>
          <w:sz w:val="22"/>
        </w:rPr>
        <w:t> </w:t>
      </w:r>
      <w:r>
        <w:rPr>
          <w:rFonts w:ascii="Arial" w:hAnsi="Arial"/>
          <w:w w:val="95"/>
          <w:sz w:val="22"/>
        </w:rPr>
        <w:t>as</w:t>
      </w:r>
      <w:r>
        <w:rPr>
          <w:rFonts w:ascii="Arial" w:hAnsi="Arial"/>
          <w:spacing w:val="-20"/>
          <w:w w:val="95"/>
          <w:sz w:val="22"/>
        </w:rPr>
        <w:t> </w:t>
      </w:r>
      <w:r>
        <w:rPr>
          <w:rFonts w:ascii="Arial" w:hAnsi="Arial"/>
          <w:w w:val="95"/>
          <w:sz w:val="22"/>
        </w:rPr>
        <w:t>white</w:t>
      </w:r>
      <w:r>
        <w:rPr>
          <w:rFonts w:ascii="Arial" w:hAnsi="Arial"/>
          <w:spacing w:val="-19"/>
          <w:w w:val="95"/>
          <w:sz w:val="22"/>
        </w:rPr>
        <w:t> </w:t>
      </w:r>
      <w:r>
        <w:rPr>
          <w:rFonts w:ascii="Arial" w:hAnsi="Arial"/>
          <w:w w:val="95"/>
          <w:sz w:val="22"/>
        </w:rPr>
        <w:t>areas</w:t>
      </w:r>
      <w:r>
        <w:rPr>
          <w:rFonts w:ascii="Arial" w:hAnsi="Arial"/>
          <w:spacing w:val="-19"/>
          <w:w w:val="95"/>
          <w:sz w:val="22"/>
        </w:rPr>
        <w:t> </w:t>
      </w:r>
      <w:r>
        <w:rPr>
          <w:rFonts w:ascii="Arial" w:hAnsi="Arial"/>
          <w:w w:val="95"/>
          <w:sz w:val="22"/>
        </w:rPr>
        <w:t>because</w:t>
      </w:r>
      <w:r>
        <w:rPr>
          <w:rFonts w:ascii="Arial" w:hAnsi="Arial"/>
          <w:spacing w:val="-20"/>
          <w:w w:val="95"/>
          <w:sz w:val="22"/>
        </w:rPr>
        <w:t> </w:t>
      </w:r>
      <w:r>
        <w:rPr>
          <w:rFonts w:ascii="Arial" w:hAnsi="Arial"/>
          <w:w w:val="95"/>
          <w:sz w:val="22"/>
        </w:rPr>
        <w:t>collagen</w:t>
      </w:r>
      <w:r>
        <w:rPr>
          <w:rFonts w:ascii="Arial" w:hAnsi="Arial"/>
          <w:spacing w:val="-20"/>
          <w:w w:val="95"/>
          <w:sz w:val="22"/>
        </w:rPr>
        <w:t> </w:t>
      </w:r>
      <w:r>
        <w:rPr>
          <w:rFonts w:ascii="Arial" w:hAnsi="Arial"/>
          <w:w w:val="95"/>
          <w:sz w:val="22"/>
        </w:rPr>
        <w:t>is</w:t>
      </w:r>
      <w:r>
        <w:rPr>
          <w:rFonts w:ascii="Arial" w:hAnsi="Arial"/>
          <w:spacing w:val="-18"/>
          <w:w w:val="95"/>
          <w:sz w:val="22"/>
        </w:rPr>
        <w:t> </w:t>
      </w:r>
      <w:r>
        <w:rPr>
          <w:rFonts w:ascii="Arial" w:hAnsi="Arial"/>
          <w:w w:val="95"/>
          <w:sz w:val="22"/>
        </w:rPr>
        <w:t>not </w:t>
      </w:r>
      <w:r>
        <w:rPr>
          <w:rFonts w:ascii="Arial" w:hAnsi="Arial"/>
          <w:sz w:val="22"/>
        </w:rPr>
        <w:t>stained</w:t>
      </w:r>
      <w:r>
        <w:rPr>
          <w:rFonts w:ascii="Arial" w:hAnsi="Arial"/>
          <w:spacing w:val="-38"/>
          <w:sz w:val="22"/>
        </w:rPr>
        <w:t> </w:t>
      </w:r>
      <w:r>
        <w:rPr>
          <w:rFonts w:ascii="Arial" w:hAnsi="Arial"/>
          <w:sz w:val="22"/>
        </w:rPr>
        <w:t>by</w:t>
      </w:r>
      <w:r>
        <w:rPr>
          <w:rFonts w:ascii="Arial" w:hAnsi="Arial"/>
          <w:spacing w:val="-38"/>
          <w:sz w:val="22"/>
        </w:rPr>
        <w:t> </w:t>
      </w:r>
      <w:r>
        <w:rPr>
          <w:rFonts w:ascii="Arial" w:hAnsi="Arial"/>
          <w:sz w:val="22"/>
        </w:rPr>
        <w:t>the</w:t>
      </w:r>
      <w:r>
        <w:rPr>
          <w:rFonts w:ascii="Arial" w:hAnsi="Arial"/>
          <w:spacing w:val="-38"/>
          <w:sz w:val="22"/>
        </w:rPr>
        <w:t> </w:t>
      </w:r>
      <w:r>
        <w:rPr>
          <w:rFonts w:ascii="Arial" w:hAnsi="Arial"/>
          <w:sz w:val="22"/>
        </w:rPr>
        <w:t>Alcian</w:t>
      </w:r>
      <w:r>
        <w:rPr>
          <w:rFonts w:ascii="Arial" w:hAnsi="Arial"/>
          <w:spacing w:val="-39"/>
          <w:sz w:val="22"/>
        </w:rPr>
        <w:t> </w:t>
      </w:r>
      <w:r>
        <w:rPr>
          <w:rFonts w:ascii="Arial" w:hAnsi="Arial"/>
          <w:sz w:val="22"/>
        </w:rPr>
        <w:t>blue.</w:t>
      </w:r>
      <w:r>
        <w:rPr>
          <w:rFonts w:ascii="Arial" w:hAnsi="Arial"/>
          <w:spacing w:val="-39"/>
          <w:sz w:val="22"/>
        </w:rPr>
        <w:t> </w:t>
      </w:r>
      <w:r>
        <w:rPr>
          <w:rFonts w:ascii="Arial" w:hAnsi="Arial"/>
          <w:sz w:val="22"/>
        </w:rPr>
        <w:t>In</w:t>
      </w:r>
      <w:r>
        <w:rPr>
          <w:rFonts w:ascii="Arial" w:hAnsi="Arial"/>
          <w:spacing w:val="-38"/>
          <w:sz w:val="22"/>
        </w:rPr>
        <w:t> </w:t>
      </w:r>
      <w:r>
        <w:rPr>
          <w:rFonts w:ascii="Arial" w:hAnsi="Arial"/>
          <w:sz w:val="22"/>
        </w:rPr>
        <w:t>the</w:t>
      </w:r>
      <w:r>
        <w:rPr>
          <w:rFonts w:ascii="Arial" w:hAnsi="Arial"/>
          <w:spacing w:val="-37"/>
          <w:sz w:val="22"/>
        </w:rPr>
        <w:t> </w:t>
      </w:r>
      <w:r>
        <w:rPr>
          <w:rFonts w:ascii="Arial" w:hAnsi="Arial"/>
          <w:sz w:val="22"/>
        </w:rPr>
        <w:t>left</w:t>
      </w:r>
      <w:r>
        <w:rPr>
          <w:rFonts w:ascii="Arial" w:hAnsi="Arial"/>
          <w:spacing w:val="-39"/>
          <w:sz w:val="22"/>
        </w:rPr>
        <w:t> </w:t>
      </w:r>
      <w:r>
        <w:rPr>
          <w:rFonts w:ascii="Arial" w:hAnsi="Arial"/>
          <w:sz w:val="22"/>
        </w:rPr>
        <w:t>low</w:t>
      </w:r>
      <w:r>
        <w:rPr>
          <w:rFonts w:ascii="Arial" w:hAnsi="Arial"/>
          <w:spacing w:val="-37"/>
          <w:sz w:val="22"/>
        </w:rPr>
        <w:t> </w:t>
      </w:r>
      <w:r>
        <w:rPr>
          <w:rFonts w:ascii="Arial" w:hAnsi="Arial"/>
          <w:sz w:val="22"/>
        </w:rPr>
        <w:t>part</w:t>
      </w:r>
      <w:r>
        <w:rPr>
          <w:rFonts w:ascii="Arial" w:hAnsi="Arial"/>
          <w:spacing w:val="-39"/>
          <w:sz w:val="22"/>
        </w:rPr>
        <w:t> </w:t>
      </w:r>
      <w:r>
        <w:rPr>
          <w:rFonts w:ascii="Arial" w:hAnsi="Arial"/>
          <w:sz w:val="22"/>
        </w:rPr>
        <w:t>of</w:t>
      </w:r>
      <w:r>
        <w:rPr>
          <w:rFonts w:ascii="Arial" w:hAnsi="Arial"/>
          <w:spacing w:val="-38"/>
          <w:sz w:val="22"/>
        </w:rPr>
        <w:t> </w:t>
      </w:r>
      <w:r>
        <w:rPr>
          <w:rFonts w:ascii="Arial" w:hAnsi="Arial"/>
          <w:sz w:val="22"/>
        </w:rPr>
        <w:t>the</w:t>
      </w:r>
      <w:r>
        <w:rPr>
          <w:rFonts w:ascii="Arial" w:hAnsi="Arial"/>
          <w:spacing w:val="-37"/>
          <w:sz w:val="22"/>
        </w:rPr>
        <w:t> </w:t>
      </w:r>
      <w:r>
        <w:rPr>
          <w:rFonts w:ascii="Arial" w:hAnsi="Arial"/>
          <w:sz w:val="22"/>
        </w:rPr>
        <w:t>image,</w:t>
      </w:r>
      <w:r>
        <w:rPr>
          <w:rFonts w:ascii="Arial" w:hAnsi="Arial"/>
          <w:spacing w:val="-39"/>
          <w:sz w:val="22"/>
        </w:rPr>
        <w:t> </w:t>
      </w:r>
      <w:r>
        <w:rPr>
          <w:rFonts w:ascii="Arial" w:hAnsi="Arial"/>
          <w:sz w:val="22"/>
        </w:rPr>
        <w:t>some</w:t>
      </w:r>
      <w:r>
        <w:rPr>
          <w:rFonts w:ascii="Arial" w:hAnsi="Arial"/>
          <w:spacing w:val="-38"/>
          <w:sz w:val="22"/>
        </w:rPr>
        <w:t> </w:t>
      </w:r>
      <w:r>
        <w:rPr>
          <w:rFonts w:ascii="Arial" w:hAnsi="Arial"/>
          <w:sz w:val="22"/>
        </w:rPr>
        <w:t>adipocytes</w:t>
      </w:r>
      <w:r>
        <w:rPr>
          <w:rFonts w:ascii="Arial" w:hAnsi="Arial"/>
          <w:spacing w:val="-38"/>
          <w:sz w:val="22"/>
        </w:rPr>
        <w:t> </w:t>
      </w:r>
      <w:r>
        <w:rPr>
          <w:rFonts w:ascii="Arial" w:hAnsi="Arial"/>
          <w:sz w:val="22"/>
        </w:rPr>
        <w:t>(white</w:t>
      </w:r>
      <w:r>
        <w:rPr>
          <w:rFonts w:ascii="Arial" w:hAnsi="Arial"/>
          <w:spacing w:val="-37"/>
          <w:sz w:val="22"/>
        </w:rPr>
        <w:t> </w:t>
      </w:r>
      <w:r>
        <w:rPr>
          <w:rFonts w:ascii="Arial" w:hAnsi="Arial"/>
          <w:sz w:val="22"/>
        </w:rPr>
        <w:t>and</w:t>
      </w:r>
      <w:r>
        <w:rPr>
          <w:rFonts w:ascii="Arial" w:hAnsi="Arial"/>
          <w:spacing w:val="-37"/>
          <w:sz w:val="22"/>
        </w:rPr>
        <w:t> </w:t>
      </w:r>
      <w:r>
        <w:rPr>
          <w:rFonts w:ascii="Arial" w:hAnsi="Arial"/>
          <w:sz w:val="22"/>
        </w:rPr>
        <w:t>rounded)</w:t>
      </w:r>
      <w:r>
        <w:rPr>
          <w:rFonts w:ascii="Arial" w:hAnsi="Arial"/>
          <w:spacing w:val="-39"/>
          <w:sz w:val="22"/>
        </w:rPr>
        <w:t> </w:t>
      </w:r>
      <w:r>
        <w:rPr>
          <w:rFonts w:ascii="Arial" w:hAnsi="Arial"/>
          <w:sz w:val="22"/>
        </w:rPr>
        <w:t>appear </w:t>
      </w:r>
      <w:r>
        <w:rPr>
          <w:rFonts w:ascii="Arial" w:hAnsi="Arial"/>
          <w:w w:val="95"/>
          <w:sz w:val="22"/>
        </w:rPr>
        <w:t>surrounding</w:t>
      </w:r>
      <w:r>
        <w:rPr>
          <w:rFonts w:ascii="Arial" w:hAnsi="Arial"/>
          <w:spacing w:val="-18"/>
          <w:w w:val="95"/>
          <w:sz w:val="22"/>
        </w:rPr>
        <w:t> </w:t>
      </w:r>
      <w:r>
        <w:rPr>
          <w:rFonts w:ascii="Arial" w:hAnsi="Arial"/>
          <w:w w:val="95"/>
          <w:sz w:val="22"/>
        </w:rPr>
        <w:t>a</w:t>
      </w:r>
      <w:r>
        <w:rPr>
          <w:rFonts w:ascii="Arial" w:hAnsi="Arial"/>
          <w:spacing w:val="-16"/>
          <w:w w:val="95"/>
          <w:sz w:val="22"/>
        </w:rPr>
        <w:t> </w:t>
      </w:r>
      <w:r>
        <w:rPr>
          <w:rFonts w:ascii="Arial" w:hAnsi="Arial"/>
          <w:w w:val="95"/>
          <w:sz w:val="22"/>
        </w:rPr>
        <w:t>phantom</w:t>
      </w:r>
      <w:r>
        <w:rPr>
          <w:rFonts w:ascii="Arial" w:hAnsi="Arial"/>
          <w:spacing w:val="-18"/>
          <w:w w:val="95"/>
          <w:sz w:val="22"/>
        </w:rPr>
        <w:t> </w:t>
      </w:r>
      <w:r>
        <w:rPr>
          <w:rFonts w:ascii="Arial" w:hAnsi="Arial"/>
          <w:w w:val="95"/>
          <w:sz w:val="22"/>
        </w:rPr>
        <w:t>of</w:t>
      </w:r>
      <w:r>
        <w:rPr>
          <w:rFonts w:ascii="Arial" w:hAnsi="Arial"/>
          <w:spacing w:val="-19"/>
          <w:w w:val="95"/>
          <w:sz w:val="22"/>
        </w:rPr>
        <w:t> </w:t>
      </w:r>
      <w:r>
        <w:rPr>
          <w:rFonts w:ascii="Arial" w:hAnsi="Arial"/>
          <w:w w:val="95"/>
          <w:sz w:val="22"/>
        </w:rPr>
        <w:t>some</w:t>
      </w:r>
      <w:r>
        <w:rPr>
          <w:rFonts w:ascii="Arial" w:hAnsi="Arial"/>
          <w:spacing w:val="-16"/>
          <w:w w:val="95"/>
          <w:sz w:val="22"/>
        </w:rPr>
        <w:t> </w:t>
      </w:r>
      <w:r>
        <w:rPr>
          <w:rFonts w:ascii="Arial" w:hAnsi="Arial"/>
          <w:w w:val="95"/>
          <w:sz w:val="22"/>
        </w:rPr>
        <w:t>profiles</w:t>
      </w:r>
      <w:r>
        <w:rPr>
          <w:rFonts w:ascii="Arial" w:hAnsi="Arial"/>
          <w:spacing w:val="-18"/>
          <w:w w:val="95"/>
          <w:sz w:val="22"/>
        </w:rPr>
        <w:t> </w:t>
      </w:r>
      <w:r>
        <w:rPr>
          <w:rFonts w:ascii="Arial" w:hAnsi="Arial"/>
          <w:w w:val="95"/>
          <w:sz w:val="22"/>
        </w:rPr>
        <w:t>of</w:t>
      </w:r>
      <w:r>
        <w:rPr>
          <w:rFonts w:ascii="Arial" w:hAnsi="Arial"/>
          <w:spacing w:val="-19"/>
          <w:w w:val="95"/>
          <w:sz w:val="22"/>
        </w:rPr>
        <w:t> </w:t>
      </w:r>
      <w:r>
        <w:rPr>
          <w:rFonts w:ascii="Arial" w:hAnsi="Arial"/>
          <w:w w:val="95"/>
          <w:sz w:val="22"/>
        </w:rPr>
        <w:t>excretory</w:t>
      </w:r>
      <w:r>
        <w:rPr>
          <w:rFonts w:ascii="Arial" w:hAnsi="Arial"/>
          <w:spacing w:val="-20"/>
          <w:w w:val="95"/>
          <w:sz w:val="22"/>
        </w:rPr>
        <w:t> </w:t>
      </w:r>
      <w:r>
        <w:rPr>
          <w:rFonts w:ascii="Arial" w:hAnsi="Arial"/>
          <w:w w:val="95"/>
          <w:sz w:val="22"/>
        </w:rPr>
        <w:t>ducts</w:t>
      </w:r>
      <w:r>
        <w:rPr>
          <w:rFonts w:ascii="Arial" w:hAnsi="Arial"/>
          <w:spacing w:val="-16"/>
          <w:w w:val="95"/>
          <w:sz w:val="22"/>
        </w:rPr>
        <w:t> </w:t>
      </w:r>
      <w:r>
        <w:rPr>
          <w:rFonts w:ascii="Arial" w:hAnsi="Arial"/>
          <w:w w:val="95"/>
          <w:sz w:val="22"/>
        </w:rPr>
        <w:t>of</w:t>
      </w:r>
      <w:r>
        <w:rPr>
          <w:rFonts w:ascii="Arial" w:hAnsi="Arial"/>
          <w:spacing w:val="-19"/>
          <w:w w:val="95"/>
          <w:sz w:val="22"/>
        </w:rPr>
        <w:t> </w:t>
      </w:r>
      <w:r>
        <w:rPr>
          <w:rFonts w:ascii="Arial" w:hAnsi="Arial"/>
          <w:w w:val="95"/>
          <w:sz w:val="22"/>
        </w:rPr>
        <w:t>glands</w:t>
      </w:r>
      <w:r>
        <w:rPr>
          <w:rFonts w:ascii="Arial" w:hAnsi="Arial"/>
          <w:spacing w:val="-16"/>
          <w:w w:val="95"/>
          <w:sz w:val="22"/>
        </w:rPr>
        <w:t> </w:t>
      </w:r>
      <w:r>
        <w:rPr>
          <w:rFonts w:ascii="Arial" w:hAnsi="Arial"/>
          <w:w w:val="95"/>
          <w:sz w:val="22"/>
        </w:rPr>
        <w:t>variously</w:t>
      </w:r>
      <w:r>
        <w:rPr>
          <w:rFonts w:ascii="Arial" w:hAnsi="Arial"/>
          <w:spacing w:val="-19"/>
          <w:w w:val="95"/>
          <w:sz w:val="22"/>
        </w:rPr>
        <w:t> </w:t>
      </w:r>
      <w:r>
        <w:rPr>
          <w:rFonts w:ascii="Arial" w:hAnsi="Arial"/>
          <w:w w:val="95"/>
          <w:sz w:val="22"/>
        </w:rPr>
        <w:t>oriented,</w:t>
      </w:r>
      <w:r>
        <w:rPr>
          <w:rFonts w:ascii="Arial" w:hAnsi="Arial"/>
          <w:spacing w:val="-16"/>
          <w:w w:val="95"/>
          <w:sz w:val="22"/>
        </w:rPr>
        <w:t> </w:t>
      </w:r>
      <w:r>
        <w:rPr>
          <w:rFonts w:ascii="Arial" w:hAnsi="Arial"/>
          <w:w w:val="95"/>
          <w:sz w:val="22"/>
        </w:rPr>
        <w:t>finely</w:t>
      </w:r>
      <w:r>
        <w:rPr>
          <w:rFonts w:ascii="Arial" w:hAnsi="Arial"/>
          <w:spacing w:val="-16"/>
          <w:w w:val="95"/>
          <w:sz w:val="22"/>
        </w:rPr>
        <w:t> </w:t>
      </w:r>
      <w:r>
        <w:rPr>
          <w:rFonts w:ascii="Arial" w:hAnsi="Arial"/>
          <w:w w:val="95"/>
          <w:sz w:val="22"/>
        </w:rPr>
        <w:t>surrounded </w:t>
      </w:r>
      <w:r>
        <w:rPr>
          <w:rFonts w:ascii="Arial" w:hAnsi="Arial"/>
          <w:sz w:val="22"/>
        </w:rPr>
        <w:t>by</w:t>
      </w:r>
      <w:r>
        <w:rPr>
          <w:rFonts w:ascii="Arial" w:hAnsi="Arial"/>
          <w:spacing w:val="-14"/>
          <w:sz w:val="22"/>
        </w:rPr>
        <w:t> </w:t>
      </w:r>
      <w:r>
        <w:rPr>
          <w:rFonts w:ascii="Arial" w:hAnsi="Arial"/>
          <w:sz w:val="22"/>
        </w:rPr>
        <w:t>the</w:t>
      </w:r>
      <w:r>
        <w:rPr>
          <w:rFonts w:ascii="Arial" w:hAnsi="Arial"/>
          <w:spacing w:val="-14"/>
          <w:sz w:val="22"/>
        </w:rPr>
        <w:t> </w:t>
      </w:r>
      <w:r>
        <w:rPr>
          <w:rFonts w:ascii="Arial" w:hAnsi="Arial"/>
          <w:sz w:val="22"/>
        </w:rPr>
        <w:t>dye</w:t>
      </w:r>
      <w:r>
        <w:rPr>
          <w:rFonts w:ascii="Arial" w:hAnsi="Arial"/>
          <w:spacing w:val="-14"/>
          <w:sz w:val="22"/>
        </w:rPr>
        <w:t> </w:t>
      </w:r>
      <w:r>
        <w:rPr>
          <w:rFonts w:ascii="Arial" w:hAnsi="Arial"/>
          <w:sz w:val="22"/>
        </w:rPr>
        <w:t>but</w:t>
      </w:r>
      <w:r>
        <w:rPr>
          <w:rFonts w:ascii="Arial" w:hAnsi="Arial"/>
          <w:spacing w:val="-16"/>
          <w:sz w:val="22"/>
        </w:rPr>
        <w:t> </w:t>
      </w:r>
      <w:r>
        <w:rPr>
          <w:rFonts w:ascii="Arial" w:hAnsi="Arial"/>
          <w:sz w:val="22"/>
        </w:rPr>
        <w:t>not</w:t>
      </w:r>
      <w:r>
        <w:rPr>
          <w:rFonts w:ascii="Arial" w:hAnsi="Arial"/>
          <w:spacing w:val="-17"/>
          <w:sz w:val="22"/>
        </w:rPr>
        <w:t> </w:t>
      </w:r>
      <w:r>
        <w:rPr>
          <w:rFonts w:ascii="Arial" w:hAnsi="Arial"/>
          <w:sz w:val="22"/>
        </w:rPr>
        <w:t>specifically</w:t>
      </w:r>
      <w:r>
        <w:rPr>
          <w:rFonts w:ascii="Arial" w:hAnsi="Arial"/>
          <w:spacing w:val="-14"/>
          <w:sz w:val="22"/>
        </w:rPr>
        <w:t> </w:t>
      </w:r>
      <w:r>
        <w:rPr>
          <w:rFonts w:ascii="Arial" w:hAnsi="Arial"/>
          <w:sz w:val="22"/>
        </w:rPr>
        <w:t>stained.</w:t>
      </w:r>
      <w:r>
        <w:rPr>
          <w:rFonts w:ascii="Arial" w:hAnsi="Arial"/>
          <w:spacing w:val="-14"/>
          <w:sz w:val="22"/>
        </w:rPr>
        <w:t> </w:t>
      </w:r>
      <w:r>
        <w:rPr>
          <w:rFonts w:ascii="Arial" w:hAnsi="Arial"/>
          <w:sz w:val="22"/>
        </w:rPr>
        <w:t>Bar:</w:t>
      </w:r>
      <w:r>
        <w:rPr>
          <w:rFonts w:ascii="Arial" w:hAnsi="Arial"/>
          <w:spacing w:val="-16"/>
          <w:sz w:val="22"/>
        </w:rPr>
        <w:t> </w:t>
      </w:r>
      <w:r>
        <w:rPr>
          <w:rFonts w:ascii="Arial" w:hAnsi="Arial"/>
          <w:sz w:val="22"/>
        </w:rPr>
        <w:t>50</w:t>
      </w:r>
      <w:r>
        <w:rPr>
          <w:rFonts w:ascii="Arial" w:hAnsi="Arial"/>
          <w:spacing w:val="-14"/>
          <w:sz w:val="22"/>
        </w:rPr>
        <w:t> </w:t>
      </w:r>
      <w:r>
        <w:rPr>
          <w:rFonts w:ascii="Arial" w:hAnsi="Arial"/>
          <w:sz w:val="22"/>
        </w:rPr>
        <w:t>μm.</w:t>
      </w:r>
    </w:p>
    <w:p>
      <w:pPr>
        <w:spacing w:after="0" w:line="276" w:lineRule="auto"/>
        <w:jc w:val="left"/>
        <w:rPr>
          <w:rFonts w:ascii="Arial" w:hAnsi="Arial"/>
          <w:sz w:val="22"/>
        </w:rPr>
        <w:sectPr>
          <w:pgSz w:w="11910" w:h="16840"/>
          <w:pgMar w:header="0" w:footer="461" w:top="1360" w:bottom="660" w:left="20" w:right="1020"/>
        </w:sectPr>
      </w:pPr>
    </w:p>
    <w:p>
      <w:pPr>
        <w:pStyle w:val="BodyText"/>
        <w:ind w:left="1114"/>
        <w:rPr>
          <w:rFonts w:ascii="Arial"/>
          <w:sz w:val="20"/>
        </w:rPr>
      </w:pPr>
      <w:r>
        <w:rPr/>
        <w:pict>
          <v:shape style="position:absolute;margin-left:-8.504179pt;margin-top:175.181702pt;width:81.75pt;height:491.65pt;mso-position-horizontal-relative:page;mso-position-vertical-relative:page;z-index:-16052736" type="#_x0000_t202" filled="false" stroked="false">
            <v:textbox inset="0,0,0,0" style="layout-flow:vertical;mso-layout-flow-alt:bottom-to-top">
              <w:txbxContent>
                <w:p>
                  <w:pPr>
                    <w:spacing w:line="1615" w:lineRule="exact" w:before="0"/>
                    <w:ind w:left="20" w:right="0" w:firstLine="0"/>
                    <w:jc w:val="left"/>
                    <w:rPr>
                      <w:sz w:val="144"/>
                    </w:rPr>
                  </w:pPr>
                  <w:r>
                    <w:rPr>
                      <w:color w:val="7F7F7F"/>
                      <w:sz w:val="144"/>
                    </w:rPr>
                    <w:t>Accepted Article</w:t>
                  </w:r>
                </w:p>
              </w:txbxContent>
            </v:textbox>
            <w10:wrap type="none"/>
          </v:shape>
        </w:pict>
      </w:r>
      <w:r>
        <w:rPr>
          <w:rFonts w:ascii="Arial"/>
          <w:sz w:val="20"/>
        </w:rPr>
        <w:drawing>
          <wp:inline distT="0" distB="0" distL="0" distR="0">
            <wp:extent cx="6027820" cy="9035224"/>
            <wp:effectExtent l="0" t="0" r="0" b="0"/>
            <wp:docPr id="53" name="image8.png"/>
            <wp:cNvGraphicFramePr>
              <a:graphicFrameLocks noChangeAspect="1"/>
            </wp:cNvGraphicFramePr>
            <a:graphic>
              <a:graphicData uri="http://schemas.openxmlformats.org/drawingml/2006/picture">
                <pic:pic>
                  <pic:nvPicPr>
                    <pic:cNvPr id="54" name="image8.png"/>
                    <pic:cNvPicPr/>
                  </pic:nvPicPr>
                  <pic:blipFill>
                    <a:blip r:embed="rId44" cstate="print"/>
                    <a:stretch>
                      <a:fillRect/>
                    </a:stretch>
                  </pic:blipFill>
                  <pic:spPr>
                    <a:xfrm>
                      <a:off x="0" y="0"/>
                      <a:ext cx="6027820" cy="9035224"/>
                    </a:xfrm>
                    <a:prstGeom prst="rect">
                      <a:avLst/>
                    </a:prstGeom>
                  </pic:spPr>
                </pic:pic>
              </a:graphicData>
            </a:graphic>
          </wp:inline>
        </w:drawing>
      </w:r>
      <w:r>
        <w:rPr>
          <w:rFonts w:ascii="Arial"/>
          <w:sz w:val="20"/>
        </w:rPr>
      </w:r>
    </w:p>
    <w:p>
      <w:pPr>
        <w:spacing w:after="0"/>
        <w:rPr>
          <w:rFonts w:ascii="Arial"/>
          <w:sz w:val="20"/>
        </w:rPr>
        <w:sectPr>
          <w:pgSz w:w="11910" w:h="16840"/>
          <w:pgMar w:header="0" w:footer="461" w:top="1400" w:bottom="660" w:left="20" w:right="1020"/>
        </w:sectPr>
      </w:pPr>
    </w:p>
    <w:p>
      <w:pPr>
        <w:spacing w:line="276" w:lineRule="auto" w:before="38"/>
        <w:ind w:left="1112" w:right="100" w:firstLine="0"/>
        <w:jc w:val="left"/>
        <w:rPr>
          <w:rFonts w:ascii="Arial"/>
          <w:sz w:val="22"/>
        </w:rPr>
      </w:pPr>
      <w:r>
        <w:rPr>
          <w:rFonts w:ascii="Arial"/>
          <w:w w:val="95"/>
          <w:sz w:val="22"/>
        </w:rPr>
        <w:t>Figure</w:t>
      </w:r>
      <w:r>
        <w:rPr>
          <w:rFonts w:ascii="Arial"/>
          <w:spacing w:val="-23"/>
          <w:w w:val="95"/>
          <w:sz w:val="22"/>
        </w:rPr>
        <w:t> </w:t>
      </w:r>
      <w:r>
        <w:rPr>
          <w:rFonts w:ascii="Arial"/>
          <w:w w:val="95"/>
          <w:sz w:val="22"/>
        </w:rPr>
        <w:t>6.</w:t>
      </w:r>
      <w:r>
        <w:rPr>
          <w:rFonts w:ascii="Arial"/>
          <w:spacing w:val="-23"/>
          <w:w w:val="95"/>
          <w:sz w:val="22"/>
        </w:rPr>
        <w:t> </w:t>
      </w:r>
      <w:r>
        <w:rPr>
          <w:rFonts w:ascii="Arial"/>
          <w:w w:val="95"/>
          <w:sz w:val="22"/>
        </w:rPr>
        <w:t>In</w:t>
      </w:r>
      <w:r>
        <w:rPr>
          <w:rFonts w:ascii="Arial"/>
          <w:spacing w:val="-23"/>
          <w:w w:val="95"/>
          <w:sz w:val="22"/>
        </w:rPr>
        <w:t> </w:t>
      </w:r>
      <w:r>
        <w:rPr>
          <w:rFonts w:ascii="Arial"/>
          <w:w w:val="95"/>
          <w:sz w:val="22"/>
        </w:rPr>
        <w:t>A)</w:t>
      </w:r>
      <w:r>
        <w:rPr>
          <w:rFonts w:ascii="Arial"/>
          <w:spacing w:val="-23"/>
          <w:w w:val="95"/>
          <w:sz w:val="22"/>
        </w:rPr>
        <w:t> </w:t>
      </w:r>
      <w:r>
        <w:rPr>
          <w:rFonts w:ascii="Arial"/>
          <w:w w:val="95"/>
          <w:sz w:val="22"/>
        </w:rPr>
        <w:t>and</w:t>
      </w:r>
      <w:r>
        <w:rPr>
          <w:rFonts w:ascii="Arial"/>
          <w:spacing w:val="-25"/>
          <w:w w:val="95"/>
          <w:sz w:val="22"/>
        </w:rPr>
        <w:t> </w:t>
      </w:r>
      <w:r>
        <w:rPr>
          <w:rFonts w:ascii="Arial"/>
          <w:w w:val="95"/>
          <w:sz w:val="22"/>
        </w:rPr>
        <w:t>B)</w:t>
      </w:r>
      <w:r>
        <w:rPr>
          <w:rFonts w:ascii="Arial"/>
          <w:spacing w:val="-22"/>
          <w:w w:val="95"/>
          <w:sz w:val="22"/>
        </w:rPr>
        <w:t> </w:t>
      </w:r>
      <w:r>
        <w:rPr>
          <w:rFonts w:ascii="Arial"/>
          <w:w w:val="95"/>
          <w:sz w:val="22"/>
        </w:rPr>
        <w:t>stained</w:t>
      </w:r>
      <w:r>
        <w:rPr>
          <w:rFonts w:ascii="Arial"/>
          <w:spacing w:val="-23"/>
          <w:w w:val="95"/>
          <w:sz w:val="22"/>
        </w:rPr>
        <w:t> </w:t>
      </w:r>
      <w:r>
        <w:rPr>
          <w:rFonts w:ascii="Arial"/>
          <w:w w:val="95"/>
          <w:sz w:val="22"/>
        </w:rPr>
        <w:t>with</w:t>
      </w:r>
      <w:r>
        <w:rPr>
          <w:rFonts w:ascii="Arial"/>
          <w:spacing w:val="-23"/>
          <w:w w:val="95"/>
          <w:sz w:val="22"/>
        </w:rPr>
        <w:t> </w:t>
      </w:r>
      <w:r>
        <w:rPr>
          <w:rFonts w:ascii="Arial"/>
          <w:w w:val="95"/>
          <w:sz w:val="22"/>
        </w:rPr>
        <w:t>Hematoxylin</w:t>
      </w:r>
      <w:r>
        <w:rPr>
          <w:rFonts w:ascii="Arial"/>
          <w:spacing w:val="-23"/>
          <w:w w:val="95"/>
          <w:sz w:val="22"/>
        </w:rPr>
        <w:t> </w:t>
      </w:r>
      <w:r>
        <w:rPr>
          <w:rFonts w:ascii="Arial"/>
          <w:w w:val="95"/>
          <w:sz w:val="22"/>
        </w:rPr>
        <w:t>and</w:t>
      </w:r>
      <w:r>
        <w:rPr>
          <w:rFonts w:ascii="Arial"/>
          <w:spacing w:val="-24"/>
          <w:w w:val="95"/>
          <w:sz w:val="22"/>
        </w:rPr>
        <w:t> </w:t>
      </w:r>
      <w:r>
        <w:rPr>
          <w:rFonts w:ascii="Arial"/>
          <w:w w:val="95"/>
          <w:sz w:val="22"/>
        </w:rPr>
        <w:t>Eosin,</w:t>
      </w:r>
      <w:r>
        <w:rPr>
          <w:rFonts w:ascii="Arial"/>
          <w:spacing w:val="-22"/>
          <w:w w:val="95"/>
          <w:sz w:val="22"/>
        </w:rPr>
        <w:t> </w:t>
      </w:r>
      <w:r>
        <w:rPr>
          <w:rFonts w:ascii="Arial"/>
          <w:w w:val="95"/>
          <w:sz w:val="22"/>
        </w:rPr>
        <w:t>the</w:t>
      </w:r>
      <w:r>
        <w:rPr>
          <w:rFonts w:ascii="Arial"/>
          <w:spacing w:val="-24"/>
          <w:w w:val="95"/>
          <w:sz w:val="22"/>
        </w:rPr>
        <w:t> </w:t>
      </w:r>
      <w:r>
        <w:rPr>
          <w:rFonts w:ascii="Arial"/>
          <w:w w:val="95"/>
          <w:sz w:val="22"/>
        </w:rPr>
        <w:t>very</w:t>
      </w:r>
      <w:r>
        <w:rPr>
          <w:rFonts w:ascii="Arial"/>
          <w:spacing w:val="-22"/>
          <w:w w:val="95"/>
          <w:sz w:val="22"/>
        </w:rPr>
        <w:t> </w:t>
      </w:r>
      <w:r>
        <w:rPr>
          <w:rFonts w:ascii="Arial"/>
          <w:w w:val="95"/>
          <w:sz w:val="22"/>
        </w:rPr>
        <w:t>close</w:t>
      </w:r>
      <w:r>
        <w:rPr>
          <w:rFonts w:ascii="Arial"/>
          <w:spacing w:val="-24"/>
          <w:w w:val="95"/>
          <w:sz w:val="22"/>
        </w:rPr>
        <w:t> </w:t>
      </w:r>
      <w:r>
        <w:rPr>
          <w:rFonts w:ascii="Arial"/>
          <w:w w:val="95"/>
          <w:sz w:val="22"/>
        </w:rPr>
        <w:t>association</w:t>
      </w:r>
      <w:r>
        <w:rPr>
          <w:rFonts w:ascii="Arial"/>
          <w:spacing w:val="-23"/>
          <w:w w:val="95"/>
          <w:sz w:val="22"/>
        </w:rPr>
        <w:t> </w:t>
      </w:r>
      <w:r>
        <w:rPr>
          <w:rFonts w:ascii="Arial"/>
          <w:w w:val="95"/>
          <w:sz w:val="22"/>
        </w:rPr>
        <w:t>between</w:t>
      </w:r>
      <w:r>
        <w:rPr>
          <w:rFonts w:ascii="Arial"/>
          <w:spacing w:val="-23"/>
          <w:w w:val="95"/>
          <w:sz w:val="22"/>
        </w:rPr>
        <w:t> </w:t>
      </w:r>
      <w:r>
        <w:rPr>
          <w:rFonts w:ascii="Arial"/>
          <w:w w:val="95"/>
          <w:sz w:val="22"/>
        </w:rPr>
        <w:t>the</w:t>
      </w:r>
      <w:r>
        <w:rPr>
          <w:rFonts w:ascii="Arial"/>
          <w:spacing w:val="-22"/>
          <w:w w:val="95"/>
          <w:sz w:val="22"/>
        </w:rPr>
        <w:t> </w:t>
      </w:r>
      <w:r>
        <w:rPr>
          <w:rFonts w:ascii="Arial"/>
          <w:w w:val="95"/>
          <w:sz w:val="22"/>
        </w:rPr>
        <w:t>filler, </w:t>
      </w:r>
      <w:r>
        <w:rPr>
          <w:rFonts w:ascii="Arial"/>
          <w:sz w:val="22"/>
        </w:rPr>
        <w:t>Alcian</w:t>
      </w:r>
      <w:r>
        <w:rPr>
          <w:rFonts w:ascii="Arial"/>
          <w:spacing w:val="-41"/>
          <w:sz w:val="22"/>
        </w:rPr>
        <w:t> </w:t>
      </w:r>
      <w:r>
        <w:rPr>
          <w:rFonts w:ascii="Arial"/>
          <w:sz w:val="22"/>
        </w:rPr>
        <w:t>blue</w:t>
      </w:r>
      <w:r>
        <w:rPr>
          <w:rFonts w:ascii="Arial"/>
          <w:spacing w:val="-40"/>
          <w:sz w:val="22"/>
        </w:rPr>
        <w:t> </w:t>
      </w:r>
      <w:r>
        <w:rPr>
          <w:rFonts w:ascii="Arial"/>
          <w:sz w:val="22"/>
        </w:rPr>
        <w:t>faintly</w:t>
      </w:r>
      <w:r>
        <w:rPr>
          <w:rFonts w:ascii="Arial"/>
          <w:spacing w:val="-41"/>
          <w:sz w:val="22"/>
        </w:rPr>
        <w:t> </w:t>
      </w:r>
      <w:r>
        <w:rPr>
          <w:rFonts w:ascii="Arial"/>
          <w:sz w:val="22"/>
        </w:rPr>
        <w:t>stained</w:t>
      </w:r>
      <w:r>
        <w:rPr>
          <w:rFonts w:ascii="Arial"/>
          <w:spacing w:val="-42"/>
          <w:sz w:val="22"/>
        </w:rPr>
        <w:t> </w:t>
      </w:r>
      <w:r>
        <w:rPr>
          <w:rFonts w:ascii="Arial"/>
          <w:sz w:val="22"/>
        </w:rPr>
        <w:t>(asterisks),</w:t>
      </w:r>
      <w:r>
        <w:rPr>
          <w:rFonts w:ascii="Arial"/>
          <w:spacing w:val="-40"/>
          <w:sz w:val="22"/>
        </w:rPr>
        <w:t> </w:t>
      </w:r>
      <w:r>
        <w:rPr>
          <w:rFonts w:ascii="Arial"/>
          <w:sz w:val="22"/>
        </w:rPr>
        <w:t>and</w:t>
      </w:r>
      <w:r>
        <w:rPr>
          <w:rFonts w:ascii="Arial"/>
          <w:spacing w:val="-40"/>
          <w:sz w:val="22"/>
        </w:rPr>
        <w:t> </w:t>
      </w:r>
      <w:r>
        <w:rPr>
          <w:rFonts w:ascii="Arial"/>
          <w:sz w:val="22"/>
        </w:rPr>
        <w:t>both</w:t>
      </w:r>
      <w:r>
        <w:rPr>
          <w:rFonts w:ascii="Arial"/>
          <w:spacing w:val="-41"/>
          <w:sz w:val="22"/>
        </w:rPr>
        <w:t> </w:t>
      </w:r>
      <w:r>
        <w:rPr>
          <w:rFonts w:ascii="Arial"/>
          <w:sz w:val="22"/>
        </w:rPr>
        <w:t>adipocytes</w:t>
      </w:r>
      <w:r>
        <w:rPr>
          <w:rFonts w:ascii="Arial"/>
          <w:spacing w:val="-41"/>
          <w:sz w:val="22"/>
        </w:rPr>
        <w:t> </w:t>
      </w:r>
      <w:r>
        <w:rPr>
          <w:rFonts w:ascii="Arial"/>
          <w:sz w:val="22"/>
        </w:rPr>
        <w:t>and</w:t>
      </w:r>
      <w:r>
        <w:rPr>
          <w:rFonts w:ascii="Arial"/>
          <w:spacing w:val="-41"/>
          <w:sz w:val="22"/>
        </w:rPr>
        <w:t> </w:t>
      </w:r>
      <w:r>
        <w:rPr>
          <w:rFonts w:ascii="Arial"/>
          <w:sz w:val="22"/>
        </w:rPr>
        <w:t>excretory</w:t>
      </w:r>
      <w:r>
        <w:rPr>
          <w:rFonts w:ascii="Arial"/>
          <w:spacing w:val="-41"/>
          <w:sz w:val="22"/>
        </w:rPr>
        <w:t> </w:t>
      </w:r>
      <w:r>
        <w:rPr>
          <w:rFonts w:ascii="Arial"/>
          <w:sz w:val="22"/>
        </w:rPr>
        <w:t>ducts</w:t>
      </w:r>
      <w:r>
        <w:rPr>
          <w:rFonts w:ascii="Arial"/>
          <w:spacing w:val="-41"/>
          <w:sz w:val="22"/>
        </w:rPr>
        <w:t> </w:t>
      </w:r>
      <w:r>
        <w:rPr>
          <w:rFonts w:ascii="Arial"/>
          <w:sz w:val="22"/>
        </w:rPr>
        <w:t>of</w:t>
      </w:r>
      <w:r>
        <w:rPr>
          <w:rFonts w:ascii="Arial"/>
          <w:spacing w:val="-41"/>
          <w:sz w:val="22"/>
        </w:rPr>
        <w:t> </w:t>
      </w:r>
      <w:r>
        <w:rPr>
          <w:rFonts w:ascii="Arial"/>
          <w:sz w:val="22"/>
        </w:rPr>
        <w:t>glands,</w:t>
      </w:r>
      <w:r>
        <w:rPr>
          <w:rFonts w:ascii="Arial"/>
          <w:spacing w:val="-41"/>
          <w:sz w:val="22"/>
        </w:rPr>
        <w:t> </w:t>
      </w:r>
      <w:r>
        <w:rPr>
          <w:rFonts w:ascii="Arial"/>
          <w:sz w:val="22"/>
        </w:rPr>
        <w:t>is</w:t>
      </w:r>
      <w:r>
        <w:rPr>
          <w:rFonts w:ascii="Arial"/>
          <w:spacing w:val="-40"/>
          <w:sz w:val="22"/>
        </w:rPr>
        <w:t> </w:t>
      </w:r>
      <w:r>
        <w:rPr>
          <w:rFonts w:ascii="Arial"/>
          <w:sz w:val="22"/>
        </w:rPr>
        <w:t>clearly appreciable</w:t>
      </w:r>
      <w:r>
        <w:rPr>
          <w:rFonts w:ascii="Arial"/>
          <w:spacing w:val="-28"/>
          <w:sz w:val="22"/>
        </w:rPr>
        <w:t> </w:t>
      </w:r>
      <w:r>
        <w:rPr>
          <w:rFonts w:ascii="Arial"/>
          <w:sz w:val="22"/>
        </w:rPr>
        <w:t>as</w:t>
      </w:r>
      <w:r>
        <w:rPr>
          <w:rFonts w:ascii="Arial"/>
          <w:spacing w:val="-28"/>
          <w:sz w:val="22"/>
        </w:rPr>
        <w:t> </w:t>
      </w:r>
      <w:r>
        <w:rPr>
          <w:rFonts w:ascii="Arial"/>
          <w:sz w:val="22"/>
        </w:rPr>
        <w:t>complete</w:t>
      </w:r>
      <w:r>
        <w:rPr>
          <w:rFonts w:ascii="Arial"/>
          <w:spacing w:val="-27"/>
          <w:sz w:val="22"/>
        </w:rPr>
        <w:t> </w:t>
      </w:r>
      <w:r>
        <w:rPr>
          <w:rFonts w:ascii="Arial"/>
          <w:sz w:val="22"/>
        </w:rPr>
        <w:t>integration</w:t>
      </w:r>
      <w:r>
        <w:rPr>
          <w:rFonts w:ascii="Arial"/>
          <w:spacing w:val="-28"/>
          <w:sz w:val="22"/>
        </w:rPr>
        <w:t> </w:t>
      </w:r>
      <w:r>
        <w:rPr>
          <w:rFonts w:ascii="Arial"/>
          <w:sz w:val="22"/>
        </w:rPr>
        <w:t>of</w:t>
      </w:r>
      <w:r>
        <w:rPr>
          <w:rFonts w:ascii="Arial"/>
          <w:spacing w:val="-30"/>
          <w:sz w:val="22"/>
        </w:rPr>
        <w:t> </w:t>
      </w:r>
      <w:r>
        <w:rPr>
          <w:rFonts w:ascii="Arial"/>
          <w:sz w:val="22"/>
        </w:rPr>
        <w:t>the</w:t>
      </w:r>
      <w:r>
        <w:rPr>
          <w:rFonts w:ascii="Arial"/>
          <w:spacing w:val="-25"/>
          <w:sz w:val="22"/>
        </w:rPr>
        <w:t> </w:t>
      </w:r>
      <w:r>
        <w:rPr>
          <w:rFonts w:ascii="Arial"/>
          <w:sz w:val="22"/>
        </w:rPr>
        <w:t>filler</w:t>
      </w:r>
      <w:r>
        <w:rPr>
          <w:rFonts w:ascii="Arial"/>
          <w:spacing w:val="-27"/>
          <w:sz w:val="22"/>
        </w:rPr>
        <w:t> </w:t>
      </w:r>
      <w:r>
        <w:rPr>
          <w:rFonts w:ascii="Arial"/>
          <w:sz w:val="22"/>
        </w:rPr>
        <w:t>with</w:t>
      </w:r>
      <w:r>
        <w:rPr>
          <w:rFonts w:ascii="Arial"/>
          <w:spacing w:val="-28"/>
          <w:sz w:val="22"/>
        </w:rPr>
        <w:t> </w:t>
      </w:r>
      <w:r>
        <w:rPr>
          <w:rFonts w:ascii="Arial"/>
          <w:sz w:val="22"/>
        </w:rPr>
        <w:t>the</w:t>
      </w:r>
      <w:r>
        <w:rPr>
          <w:rFonts w:ascii="Arial"/>
          <w:spacing w:val="-27"/>
          <w:sz w:val="22"/>
        </w:rPr>
        <w:t> </w:t>
      </w:r>
      <w:r>
        <w:rPr>
          <w:rFonts w:ascii="Arial"/>
          <w:sz w:val="22"/>
        </w:rPr>
        <w:t>whole</w:t>
      </w:r>
      <w:r>
        <w:rPr>
          <w:rFonts w:ascii="Arial"/>
          <w:spacing w:val="-29"/>
          <w:sz w:val="22"/>
        </w:rPr>
        <w:t> </w:t>
      </w:r>
      <w:r>
        <w:rPr>
          <w:rFonts w:ascii="Arial"/>
          <w:sz w:val="22"/>
        </w:rPr>
        <w:t>of</w:t>
      </w:r>
      <w:r>
        <w:rPr>
          <w:rFonts w:ascii="Arial"/>
          <w:spacing w:val="-28"/>
          <w:sz w:val="22"/>
        </w:rPr>
        <w:t> </w:t>
      </w:r>
      <w:r>
        <w:rPr>
          <w:rFonts w:ascii="Arial"/>
          <w:sz w:val="22"/>
        </w:rPr>
        <w:t>tissue</w:t>
      </w:r>
      <w:r>
        <w:rPr>
          <w:rFonts w:ascii="Arial"/>
          <w:spacing w:val="-27"/>
          <w:sz w:val="22"/>
        </w:rPr>
        <w:t> </w:t>
      </w:r>
      <w:r>
        <w:rPr>
          <w:rFonts w:ascii="Arial"/>
          <w:sz w:val="22"/>
        </w:rPr>
        <w:t>structures.</w:t>
      </w:r>
      <w:r>
        <w:rPr>
          <w:rFonts w:ascii="Arial"/>
          <w:spacing w:val="-28"/>
          <w:sz w:val="22"/>
        </w:rPr>
        <w:t> </w:t>
      </w:r>
      <w:r>
        <w:rPr>
          <w:rFonts w:ascii="Arial"/>
          <w:sz w:val="22"/>
        </w:rPr>
        <w:t>Aspects</w:t>
      </w:r>
      <w:r>
        <w:rPr>
          <w:rFonts w:ascii="Arial"/>
          <w:spacing w:val="-29"/>
          <w:sz w:val="22"/>
        </w:rPr>
        <w:t> </w:t>
      </w:r>
      <w:r>
        <w:rPr>
          <w:rFonts w:ascii="Arial"/>
          <w:sz w:val="22"/>
        </w:rPr>
        <w:t>of</w:t>
      </w:r>
    </w:p>
    <w:p>
      <w:pPr>
        <w:spacing w:line="251" w:lineRule="exact" w:before="0"/>
        <w:ind w:left="1112" w:right="0" w:firstLine="0"/>
        <w:jc w:val="left"/>
        <w:rPr>
          <w:rFonts w:ascii="Arial" w:hAnsi="Arial"/>
          <w:sz w:val="22"/>
        </w:rPr>
      </w:pPr>
      <w:r>
        <w:rPr/>
        <w:pict>
          <v:shape style="position:absolute;margin-left:-8.504179pt;margin-top:60.720825pt;width:81.75pt;height:491.65pt;mso-position-horizontal-relative:page;mso-position-vertical-relative:paragraph;z-index:15743488" type="#_x0000_t202" filled="false" stroked="false">
            <v:textbox inset="0,0,0,0" style="layout-flow:vertical;mso-layout-flow-alt:bottom-to-top">
              <w:txbxContent>
                <w:p>
                  <w:pPr>
                    <w:spacing w:line="1615" w:lineRule="exact" w:before="0"/>
                    <w:ind w:left="20" w:right="0" w:firstLine="0"/>
                    <w:jc w:val="left"/>
                    <w:rPr>
                      <w:sz w:val="144"/>
                    </w:rPr>
                  </w:pPr>
                  <w:r>
                    <w:rPr>
                      <w:color w:val="7F7F7F"/>
                      <w:sz w:val="144"/>
                    </w:rPr>
                    <w:t>Accepted Article</w:t>
                  </w:r>
                </w:p>
              </w:txbxContent>
            </v:textbox>
            <w10:wrap type="none"/>
          </v:shape>
        </w:pict>
      </w:r>
      <w:r>
        <w:rPr>
          <w:rFonts w:ascii="Arial" w:hAnsi="Arial"/>
          <w:sz w:val="22"/>
        </w:rPr>
        <w:t>Immunological reactions and/or related cells have never been detectable. Bar: 50 μm</w:t>
      </w:r>
    </w:p>
    <w:p>
      <w:pPr>
        <w:spacing w:after="0" w:line="251" w:lineRule="exact"/>
        <w:jc w:val="left"/>
        <w:rPr>
          <w:rFonts w:ascii="Arial" w:hAnsi="Arial"/>
          <w:sz w:val="22"/>
        </w:rPr>
        <w:sectPr>
          <w:pgSz w:w="11910" w:h="16840"/>
          <w:pgMar w:header="0" w:footer="461" w:top="1360" w:bottom="660" w:left="20" w:right="1020"/>
        </w:sectPr>
      </w:pPr>
    </w:p>
    <w:p>
      <w:pPr>
        <w:pStyle w:val="BodyText"/>
        <w:ind w:left="1114"/>
        <w:rPr>
          <w:rFonts w:ascii="Arial"/>
          <w:sz w:val="20"/>
        </w:rPr>
      </w:pPr>
      <w:r>
        <w:rPr/>
        <w:pict>
          <v:shape style="position:absolute;margin-left:-8.504179pt;margin-top:175.181702pt;width:81.75pt;height:491.65pt;mso-position-horizontal-relative:page;mso-position-vertical-relative:page;z-index:-16051712" type="#_x0000_t202" filled="false" stroked="false">
            <v:textbox inset="0,0,0,0" style="layout-flow:vertical;mso-layout-flow-alt:bottom-to-top">
              <w:txbxContent>
                <w:p>
                  <w:pPr>
                    <w:spacing w:line="1615" w:lineRule="exact" w:before="0"/>
                    <w:ind w:left="20" w:right="0" w:firstLine="0"/>
                    <w:jc w:val="left"/>
                    <w:rPr>
                      <w:sz w:val="144"/>
                    </w:rPr>
                  </w:pPr>
                  <w:r>
                    <w:rPr>
                      <w:color w:val="7F7F7F"/>
                      <w:sz w:val="144"/>
                    </w:rPr>
                    <w:t>Accepted Article</w:t>
                  </w:r>
                </w:p>
              </w:txbxContent>
            </v:textbox>
            <w10:wrap type="none"/>
          </v:shape>
        </w:pict>
      </w:r>
      <w:r>
        <w:rPr>
          <w:rFonts w:ascii="Arial"/>
          <w:sz w:val="20"/>
        </w:rPr>
        <w:drawing>
          <wp:inline distT="0" distB="0" distL="0" distR="0">
            <wp:extent cx="6027820" cy="9035224"/>
            <wp:effectExtent l="0" t="0" r="0" b="0"/>
            <wp:docPr id="55" name="image9.png"/>
            <wp:cNvGraphicFramePr>
              <a:graphicFrameLocks noChangeAspect="1"/>
            </wp:cNvGraphicFramePr>
            <a:graphic>
              <a:graphicData uri="http://schemas.openxmlformats.org/drawingml/2006/picture">
                <pic:pic>
                  <pic:nvPicPr>
                    <pic:cNvPr id="56" name="image9.png"/>
                    <pic:cNvPicPr/>
                  </pic:nvPicPr>
                  <pic:blipFill>
                    <a:blip r:embed="rId45" cstate="print"/>
                    <a:stretch>
                      <a:fillRect/>
                    </a:stretch>
                  </pic:blipFill>
                  <pic:spPr>
                    <a:xfrm>
                      <a:off x="0" y="0"/>
                      <a:ext cx="6027820" cy="9035224"/>
                    </a:xfrm>
                    <a:prstGeom prst="rect">
                      <a:avLst/>
                    </a:prstGeom>
                  </pic:spPr>
                </pic:pic>
              </a:graphicData>
            </a:graphic>
          </wp:inline>
        </w:drawing>
      </w:r>
      <w:r>
        <w:rPr>
          <w:rFonts w:ascii="Arial"/>
          <w:sz w:val="20"/>
        </w:rPr>
      </w:r>
    </w:p>
    <w:p>
      <w:pPr>
        <w:spacing w:after="0"/>
        <w:rPr>
          <w:rFonts w:ascii="Arial"/>
          <w:sz w:val="20"/>
        </w:rPr>
        <w:sectPr>
          <w:pgSz w:w="11910" w:h="16840"/>
          <w:pgMar w:header="0" w:footer="461" w:top="1400" w:bottom="660" w:left="20" w:right="1020"/>
        </w:sectPr>
      </w:pPr>
    </w:p>
    <w:p>
      <w:pPr>
        <w:spacing w:line="276" w:lineRule="auto" w:before="38"/>
        <w:ind w:left="1112" w:right="0" w:firstLine="0"/>
        <w:jc w:val="left"/>
        <w:rPr>
          <w:rFonts w:ascii="Arial"/>
          <w:sz w:val="22"/>
        </w:rPr>
      </w:pPr>
      <w:r>
        <w:rPr>
          <w:rFonts w:ascii="Arial"/>
          <w:w w:val="95"/>
          <w:sz w:val="22"/>
        </w:rPr>
        <w:t>Figure</w:t>
      </w:r>
      <w:r>
        <w:rPr>
          <w:rFonts w:ascii="Arial"/>
          <w:spacing w:val="-25"/>
          <w:w w:val="95"/>
          <w:sz w:val="22"/>
        </w:rPr>
        <w:t> </w:t>
      </w:r>
      <w:r>
        <w:rPr>
          <w:rFonts w:ascii="Arial"/>
          <w:w w:val="95"/>
          <w:sz w:val="22"/>
        </w:rPr>
        <w:t>7:</w:t>
      </w:r>
      <w:r>
        <w:rPr>
          <w:rFonts w:ascii="Arial"/>
          <w:spacing w:val="-26"/>
          <w:w w:val="95"/>
          <w:sz w:val="22"/>
        </w:rPr>
        <w:t> </w:t>
      </w:r>
      <w:r>
        <w:rPr>
          <w:rFonts w:ascii="Arial"/>
          <w:w w:val="95"/>
          <w:sz w:val="22"/>
        </w:rPr>
        <w:t>High</w:t>
      </w:r>
      <w:r>
        <w:rPr>
          <w:rFonts w:ascii="Arial"/>
          <w:spacing w:val="-25"/>
          <w:w w:val="95"/>
          <w:sz w:val="22"/>
        </w:rPr>
        <w:t> </w:t>
      </w:r>
      <w:r>
        <w:rPr>
          <w:rFonts w:ascii="Arial"/>
          <w:w w:val="95"/>
          <w:sz w:val="22"/>
        </w:rPr>
        <w:t>magnification.</w:t>
      </w:r>
      <w:r>
        <w:rPr>
          <w:rFonts w:ascii="Arial"/>
          <w:spacing w:val="-25"/>
          <w:w w:val="95"/>
          <w:sz w:val="22"/>
        </w:rPr>
        <w:t> </w:t>
      </w:r>
      <w:r>
        <w:rPr>
          <w:rFonts w:ascii="Arial"/>
          <w:w w:val="95"/>
          <w:sz w:val="22"/>
        </w:rPr>
        <w:t>A)</w:t>
      </w:r>
      <w:r>
        <w:rPr>
          <w:rFonts w:ascii="Arial"/>
          <w:spacing w:val="-25"/>
          <w:w w:val="95"/>
          <w:sz w:val="22"/>
        </w:rPr>
        <w:t> </w:t>
      </w:r>
      <w:r>
        <w:rPr>
          <w:rFonts w:ascii="Arial"/>
          <w:w w:val="95"/>
          <w:sz w:val="22"/>
        </w:rPr>
        <w:t>Blue</w:t>
      </w:r>
      <w:r>
        <w:rPr>
          <w:rFonts w:ascii="Arial"/>
          <w:spacing w:val="-24"/>
          <w:w w:val="95"/>
          <w:sz w:val="22"/>
        </w:rPr>
        <w:t> </w:t>
      </w:r>
      <w:r>
        <w:rPr>
          <w:rFonts w:ascii="Arial"/>
          <w:w w:val="95"/>
          <w:sz w:val="22"/>
        </w:rPr>
        <w:t>stained</w:t>
      </w:r>
      <w:r>
        <w:rPr>
          <w:rFonts w:ascii="Arial"/>
          <w:spacing w:val="-25"/>
          <w:w w:val="95"/>
          <w:sz w:val="22"/>
        </w:rPr>
        <w:t> </w:t>
      </w:r>
      <w:r>
        <w:rPr>
          <w:rFonts w:ascii="Arial"/>
          <w:w w:val="95"/>
          <w:sz w:val="22"/>
        </w:rPr>
        <w:t>areas,</w:t>
      </w:r>
      <w:r>
        <w:rPr>
          <w:rFonts w:ascii="Arial"/>
          <w:spacing w:val="-25"/>
          <w:w w:val="95"/>
          <w:sz w:val="22"/>
        </w:rPr>
        <w:t> </w:t>
      </w:r>
      <w:r>
        <w:rPr>
          <w:rFonts w:ascii="Arial"/>
          <w:w w:val="95"/>
          <w:sz w:val="22"/>
        </w:rPr>
        <w:t>appear</w:t>
      </w:r>
      <w:r>
        <w:rPr>
          <w:rFonts w:ascii="Arial"/>
          <w:spacing w:val="-25"/>
          <w:w w:val="95"/>
          <w:sz w:val="22"/>
        </w:rPr>
        <w:t> </w:t>
      </w:r>
      <w:r>
        <w:rPr>
          <w:rFonts w:ascii="Arial"/>
          <w:w w:val="95"/>
          <w:sz w:val="22"/>
        </w:rPr>
        <w:t>some</w:t>
      </w:r>
      <w:r>
        <w:rPr>
          <w:rFonts w:ascii="Arial"/>
          <w:spacing w:val="-25"/>
          <w:w w:val="95"/>
          <w:sz w:val="22"/>
        </w:rPr>
        <w:t> </w:t>
      </w:r>
      <w:r>
        <w:rPr>
          <w:rFonts w:ascii="Arial"/>
          <w:w w:val="95"/>
          <w:sz w:val="22"/>
        </w:rPr>
        <w:t>compacted,</w:t>
      </w:r>
      <w:r>
        <w:rPr>
          <w:rFonts w:ascii="Arial"/>
          <w:spacing w:val="-26"/>
          <w:w w:val="95"/>
          <w:sz w:val="22"/>
        </w:rPr>
        <w:t> </w:t>
      </w:r>
      <w:r>
        <w:rPr>
          <w:rFonts w:ascii="Arial"/>
          <w:w w:val="95"/>
          <w:sz w:val="22"/>
        </w:rPr>
        <w:t>others</w:t>
      </w:r>
      <w:r>
        <w:rPr>
          <w:rFonts w:ascii="Arial"/>
          <w:spacing w:val="-27"/>
          <w:w w:val="95"/>
          <w:sz w:val="22"/>
        </w:rPr>
        <w:t> </w:t>
      </w:r>
      <w:r>
        <w:rPr>
          <w:rFonts w:ascii="Arial"/>
          <w:w w:val="95"/>
          <w:sz w:val="22"/>
        </w:rPr>
        <w:t>more</w:t>
      </w:r>
      <w:r>
        <w:rPr>
          <w:rFonts w:ascii="Arial"/>
          <w:spacing w:val="-24"/>
          <w:w w:val="95"/>
          <w:sz w:val="22"/>
        </w:rPr>
        <w:t> </w:t>
      </w:r>
      <w:r>
        <w:rPr>
          <w:rFonts w:ascii="Arial"/>
          <w:w w:val="95"/>
          <w:sz w:val="22"/>
        </w:rPr>
        <w:t>dispersed,</w:t>
      </w:r>
      <w:r>
        <w:rPr>
          <w:rFonts w:ascii="Arial"/>
          <w:spacing w:val="-25"/>
          <w:w w:val="95"/>
          <w:sz w:val="22"/>
        </w:rPr>
        <w:t> </w:t>
      </w:r>
      <w:r>
        <w:rPr>
          <w:rFonts w:ascii="Arial"/>
          <w:w w:val="95"/>
          <w:sz w:val="22"/>
        </w:rPr>
        <w:t>with fine</w:t>
      </w:r>
      <w:r>
        <w:rPr>
          <w:rFonts w:ascii="Arial"/>
          <w:spacing w:val="-16"/>
          <w:w w:val="95"/>
          <w:sz w:val="22"/>
        </w:rPr>
        <w:t> </w:t>
      </w:r>
      <w:r>
        <w:rPr>
          <w:rFonts w:ascii="Arial"/>
          <w:w w:val="95"/>
          <w:sz w:val="22"/>
        </w:rPr>
        <w:t>branches</w:t>
      </w:r>
      <w:r>
        <w:rPr>
          <w:rFonts w:ascii="Arial"/>
          <w:spacing w:val="-19"/>
          <w:w w:val="95"/>
          <w:sz w:val="22"/>
        </w:rPr>
        <w:t> </w:t>
      </w:r>
      <w:r>
        <w:rPr>
          <w:rFonts w:ascii="Arial"/>
          <w:w w:val="95"/>
          <w:sz w:val="22"/>
        </w:rPr>
        <w:t>variously</w:t>
      </w:r>
      <w:r>
        <w:rPr>
          <w:rFonts w:ascii="Arial"/>
          <w:spacing w:val="-18"/>
          <w:w w:val="95"/>
          <w:sz w:val="22"/>
        </w:rPr>
        <w:t> </w:t>
      </w:r>
      <w:r>
        <w:rPr>
          <w:rFonts w:ascii="Arial"/>
          <w:w w:val="95"/>
          <w:sz w:val="22"/>
        </w:rPr>
        <w:t>oriented.</w:t>
      </w:r>
      <w:r>
        <w:rPr>
          <w:rFonts w:ascii="Arial"/>
          <w:spacing w:val="-16"/>
          <w:w w:val="95"/>
          <w:sz w:val="22"/>
        </w:rPr>
        <w:t> </w:t>
      </w:r>
      <w:r>
        <w:rPr>
          <w:rFonts w:ascii="Arial"/>
          <w:w w:val="95"/>
          <w:sz w:val="22"/>
        </w:rPr>
        <w:t>At</w:t>
      </w:r>
      <w:r>
        <w:rPr>
          <w:rFonts w:ascii="Arial"/>
          <w:spacing w:val="-18"/>
          <w:w w:val="95"/>
          <w:sz w:val="22"/>
        </w:rPr>
        <w:t> </w:t>
      </w:r>
      <w:r>
        <w:rPr>
          <w:rFonts w:ascii="Arial"/>
          <w:w w:val="95"/>
          <w:sz w:val="22"/>
        </w:rPr>
        <w:t>the</w:t>
      </w:r>
      <w:r>
        <w:rPr>
          <w:rFonts w:ascii="Arial"/>
          <w:spacing w:val="-17"/>
          <w:w w:val="95"/>
          <w:sz w:val="22"/>
        </w:rPr>
        <w:t> </w:t>
      </w:r>
      <w:r>
        <w:rPr>
          <w:rFonts w:ascii="Arial"/>
          <w:w w:val="95"/>
          <w:sz w:val="22"/>
        </w:rPr>
        <w:t>center</w:t>
      </w:r>
      <w:r>
        <w:rPr>
          <w:rFonts w:ascii="Arial"/>
          <w:spacing w:val="-18"/>
          <w:w w:val="95"/>
          <w:sz w:val="22"/>
        </w:rPr>
        <w:t> </w:t>
      </w:r>
      <w:r>
        <w:rPr>
          <w:rFonts w:ascii="Arial"/>
          <w:w w:val="95"/>
          <w:sz w:val="22"/>
        </w:rPr>
        <w:t>of</w:t>
      </w:r>
      <w:r>
        <w:rPr>
          <w:rFonts w:ascii="Arial"/>
          <w:spacing w:val="-19"/>
          <w:w w:val="95"/>
          <w:sz w:val="22"/>
        </w:rPr>
        <w:t> </w:t>
      </w:r>
      <w:r>
        <w:rPr>
          <w:rFonts w:ascii="Arial"/>
          <w:w w:val="95"/>
          <w:sz w:val="22"/>
        </w:rPr>
        <w:t>the</w:t>
      </w:r>
      <w:r>
        <w:rPr>
          <w:rFonts w:ascii="Arial"/>
          <w:spacing w:val="-17"/>
          <w:w w:val="95"/>
          <w:sz w:val="22"/>
        </w:rPr>
        <w:t> </w:t>
      </w:r>
      <w:r>
        <w:rPr>
          <w:rFonts w:ascii="Arial"/>
          <w:w w:val="95"/>
          <w:sz w:val="22"/>
        </w:rPr>
        <w:t>image,</w:t>
      </w:r>
      <w:r>
        <w:rPr>
          <w:rFonts w:ascii="Arial"/>
          <w:spacing w:val="-18"/>
          <w:w w:val="95"/>
          <w:sz w:val="22"/>
        </w:rPr>
        <w:t> </w:t>
      </w:r>
      <w:r>
        <w:rPr>
          <w:rFonts w:ascii="Arial"/>
          <w:w w:val="95"/>
          <w:sz w:val="22"/>
        </w:rPr>
        <w:t>a</w:t>
      </w:r>
      <w:r>
        <w:rPr>
          <w:rFonts w:ascii="Arial"/>
          <w:spacing w:val="-17"/>
          <w:w w:val="95"/>
          <w:sz w:val="22"/>
        </w:rPr>
        <w:t> </w:t>
      </w:r>
      <w:r>
        <w:rPr>
          <w:rFonts w:ascii="Arial"/>
          <w:w w:val="95"/>
          <w:sz w:val="22"/>
        </w:rPr>
        <w:t>collagen</w:t>
      </w:r>
      <w:r>
        <w:rPr>
          <w:rFonts w:ascii="Arial"/>
          <w:spacing w:val="-16"/>
          <w:w w:val="95"/>
          <w:sz w:val="22"/>
        </w:rPr>
        <w:t> </w:t>
      </w:r>
      <w:r>
        <w:rPr>
          <w:rFonts w:ascii="Arial"/>
          <w:w w:val="95"/>
          <w:sz w:val="22"/>
        </w:rPr>
        <w:t>fiber</w:t>
      </w:r>
      <w:r>
        <w:rPr>
          <w:rFonts w:ascii="Arial"/>
          <w:spacing w:val="-19"/>
          <w:w w:val="95"/>
          <w:sz w:val="22"/>
        </w:rPr>
        <w:t> </w:t>
      </w:r>
      <w:r>
        <w:rPr>
          <w:rFonts w:ascii="Arial"/>
          <w:w w:val="95"/>
          <w:sz w:val="22"/>
        </w:rPr>
        <w:t>(white)</w:t>
      </w:r>
      <w:r>
        <w:rPr>
          <w:rFonts w:ascii="Arial"/>
          <w:spacing w:val="-16"/>
          <w:w w:val="95"/>
          <w:sz w:val="22"/>
        </w:rPr>
        <w:t> </w:t>
      </w:r>
      <w:r>
        <w:rPr>
          <w:rFonts w:ascii="Arial"/>
          <w:w w:val="95"/>
          <w:sz w:val="22"/>
        </w:rPr>
        <w:t>appears</w:t>
      </w:r>
      <w:r>
        <w:rPr>
          <w:rFonts w:ascii="Arial"/>
          <w:spacing w:val="-17"/>
          <w:w w:val="95"/>
          <w:sz w:val="22"/>
        </w:rPr>
        <w:t> </w:t>
      </w:r>
      <w:r>
        <w:rPr>
          <w:rFonts w:ascii="Arial"/>
          <w:w w:val="95"/>
          <w:sz w:val="22"/>
        </w:rPr>
        <w:t>not</w:t>
      </w:r>
      <w:r>
        <w:rPr>
          <w:rFonts w:ascii="Arial"/>
          <w:spacing w:val="-16"/>
          <w:w w:val="95"/>
          <w:sz w:val="22"/>
        </w:rPr>
        <w:t> </w:t>
      </w:r>
      <w:r>
        <w:rPr>
          <w:rFonts w:ascii="Arial"/>
          <w:w w:val="95"/>
          <w:sz w:val="22"/>
        </w:rPr>
        <w:t>stained</w:t>
      </w:r>
      <w:r>
        <w:rPr>
          <w:rFonts w:ascii="Arial"/>
          <w:spacing w:val="-16"/>
          <w:w w:val="95"/>
          <w:sz w:val="22"/>
        </w:rPr>
        <w:t> </w:t>
      </w:r>
      <w:r>
        <w:rPr>
          <w:rFonts w:ascii="Arial"/>
          <w:w w:val="95"/>
          <w:sz w:val="22"/>
        </w:rPr>
        <w:t>by </w:t>
      </w:r>
      <w:r>
        <w:rPr>
          <w:rFonts w:ascii="Arial"/>
          <w:sz w:val="22"/>
        </w:rPr>
        <w:t>Alcian</w:t>
      </w:r>
      <w:r>
        <w:rPr>
          <w:rFonts w:ascii="Arial"/>
          <w:spacing w:val="-23"/>
          <w:sz w:val="22"/>
        </w:rPr>
        <w:t> </w:t>
      </w:r>
      <w:r>
        <w:rPr>
          <w:rFonts w:ascii="Arial"/>
          <w:sz w:val="22"/>
        </w:rPr>
        <w:t>blue,</w:t>
      </w:r>
      <w:r>
        <w:rPr>
          <w:rFonts w:ascii="Arial"/>
          <w:spacing w:val="-21"/>
          <w:sz w:val="22"/>
        </w:rPr>
        <w:t> </w:t>
      </w:r>
      <w:r>
        <w:rPr>
          <w:rFonts w:ascii="Arial"/>
          <w:sz w:val="22"/>
        </w:rPr>
        <w:t>as</w:t>
      </w:r>
      <w:r>
        <w:rPr>
          <w:rFonts w:ascii="Arial"/>
          <w:spacing w:val="-23"/>
          <w:sz w:val="22"/>
        </w:rPr>
        <w:t> </w:t>
      </w:r>
      <w:r>
        <w:rPr>
          <w:rFonts w:ascii="Arial"/>
          <w:sz w:val="22"/>
        </w:rPr>
        <w:t>many</w:t>
      </w:r>
      <w:r>
        <w:rPr>
          <w:rFonts w:ascii="Arial"/>
          <w:spacing w:val="-23"/>
          <w:sz w:val="22"/>
        </w:rPr>
        <w:t> </w:t>
      </w:r>
      <w:r>
        <w:rPr>
          <w:rFonts w:ascii="Arial"/>
          <w:sz w:val="22"/>
        </w:rPr>
        <w:t>other</w:t>
      </w:r>
      <w:r>
        <w:rPr>
          <w:rFonts w:ascii="Arial"/>
          <w:spacing w:val="-23"/>
          <w:sz w:val="22"/>
        </w:rPr>
        <w:t> </w:t>
      </w:r>
      <w:r>
        <w:rPr>
          <w:rFonts w:ascii="Arial"/>
          <w:sz w:val="22"/>
        </w:rPr>
        <w:t>collagen</w:t>
      </w:r>
      <w:r>
        <w:rPr>
          <w:rFonts w:ascii="Arial"/>
          <w:spacing w:val="-22"/>
          <w:sz w:val="22"/>
        </w:rPr>
        <w:t> </w:t>
      </w:r>
      <w:r>
        <w:rPr>
          <w:rFonts w:ascii="Arial"/>
          <w:sz w:val="22"/>
        </w:rPr>
        <w:t>profiles</w:t>
      </w:r>
      <w:r>
        <w:rPr>
          <w:rFonts w:ascii="Arial"/>
          <w:spacing w:val="-23"/>
          <w:sz w:val="22"/>
        </w:rPr>
        <w:t> </w:t>
      </w:r>
      <w:r>
        <w:rPr>
          <w:rFonts w:ascii="Arial"/>
          <w:sz w:val="22"/>
        </w:rPr>
        <w:t>transversaly</w:t>
      </w:r>
      <w:r>
        <w:rPr>
          <w:rFonts w:ascii="Arial"/>
          <w:spacing w:val="-21"/>
          <w:sz w:val="22"/>
        </w:rPr>
        <w:t> </w:t>
      </w:r>
      <w:r>
        <w:rPr>
          <w:rFonts w:ascii="Arial"/>
          <w:sz w:val="22"/>
        </w:rPr>
        <w:t>or</w:t>
      </w:r>
      <w:r>
        <w:rPr>
          <w:rFonts w:ascii="Arial"/>
          <w:spacing w:val="-24"/>
          <w:sz w:val="22"/>
        </w:rPr>
        <w:t> </w:t>
      </w:r>
      <w:r>
        <w:rPr>
          <w:rFonts w:ascii="Arial"/>
          <w:sz w:val="22"/>
        </w:rPr>
        <w:t>obliquously</w:t>
      </w:r>
      <w:r>
        <w:rPr>
          <w:rFonts w:ascii="Arial"/>
          <w:spacing w:val="-21"/>
          <w:sz w:val="22"/>
        </w:rPr>
        <w:t> </w:t>
      </w:r>
      <w:r>
        <w:rPr>
          <w:rFonts w:ascii="Arial"/>
          <w:sz w:val="22"/>
        </w:rPr>
        <w:t>sectioned.</w:t>
      </w:r>
    </w:p>
    <w:p>
      <w:pPr>
        <w:spacing w:line="276" w:lineRule="auto" w:before="157"/>
        <w:ind w:left="1112" w:right="0" w:firstLine="0"/>
        <w:jc w:val="left"/>
        <w:rPr>
          <w:rFonts w:ascii="Arial"/>
          <w:sz w:val="22"/>
        </w:rPr>
      </w:pPr>
      <w:r>
        <w:rPr>
          <w:rFonts w:ascii="Arial"/>
          <w:w w:val="95"/>
          <w:sz w:val="22"/>
        </w:rPr>
        <w:t>B)</w:t>
      </w:r>
      <w:r>
        <w:rPr>
          <w:rFonts w:ascii="Arial"/>
          <w:spacing w:val="-18"/>
          <w:w w:val="95"/>
          <w:sz w:val="22"/>
        </w:rPr>
        <w:t> </w:t>
      </w:r>
      <w:r>
        <w:rPr>
          <w:rFonts w:ascii="Arial"/>
          <w:w w:val="95"/>
          <w:sz w:val="22"/>
        </w:rPr>
        <w:t>Very</w:t>
      </w:r>
      <w:r>
        <w:rPr>
          <w:rFonts w:ascii="Arial"/>
          <w:spacing w:val="-18"/>
          <w:w w:val="95"/>
          <w:sz w:val="22"/>
        </w:rPr>
        <w:t> </w:t>
      </w:r>
      <w:r>
        <w:rPr>
          <w:rFonts w:ascii="Arial"/>
          <w:w w:val="95"/>
          <w:sz w:val="22"/>
        </w:rPr>
        <w:t>high</w:t>
      </w:r>
      <w:r>
        <w:rPr>
          <w:rFonts w:ascii="Arial"/>
          <w:spacing w:val="-18"/>
          <w:w w:val="95"/>
          <w:sz w:val="22"/>
        </w:rPr>
        <w:t> </w:t>
      </w:r>
      <w:r>
        <w:rPr>
          <w:rFonts w:ascii="Arial"/>
          <w:w w:val="95"/>
          <w:sz w:val="22"/>
        </w:rPr>
        <w:t>magnification,</w:t>
      </w:r>
      <w:r>
        <w:rPr>
          <w:rFonts w:ascii="Arial"/>
          <w:spacing w:val="-20"/>
          <w:w w:val="95"/>
          <w:sz w:val="22"/>
        </w:rPr>
        <w:t> </w:t>
      </w:r>
      <w:r>
        <w:rPr>
          <w:rFonts w:ascii="Arial"/>
          <w:w w:val="95"/>
          <w:sz w:val="22"/>
        </w:rPr>
        <w:t>at</w:t>
      </w:r>
      <w:r>
        <w:rPr>
          <w:rFonts w:ascii="Arial"/>
          <w:spacing w:val="-18"/>
          <w:w w:val="95"/>
          <w:sz w:val="22"/>
        </w:rPr>
        <w:t> </w:t>
      </w:r>
      <w:r>
        <w:rPr>
          <w:rFonts w:ascii="Arial"/>
          <w:w w:val="95"/>
          <w:sz w:val="22"/>
        </w:rPr>
        <w:t>the</w:t>
      </w:r>
      <w:r>
        <w:rPr>
          <w:rFonts w:ascii="Arial"/>
          <w:spacing w:val="-20"/>
          <w:w w:val="95"/>
          <w:sz w:val="22"/>
        </w:rPr>
        <w:t> </w:t>
      </w:r>
      <w:r>
        <w:rPr>
          <w:rFonts w:ascii="Arial"/>
          <w:w w:val="95"/>
          <w:sz w:val="22"/>
        </w:rPr>
        <w:t>interferential</w:t>
      </w:r>
      <w:r>
        <w:rPr>
          <w:rFonts w:ascii="Arial"/>
          <w:spacing w:val="-18"/>
          <w:w w:val="95"/>
          <w:sz w:val="22"/>
        </w:rPr>
        <w:t> </w:t>
      </w:r>
      <w:r>
        <w:rPr>
          <w:rFonts w:ascii="Arial"/>
          <w:w w:val="95"/>
          <w:sz w:val="22"/>
        </w:rPr>
        <w:t>light</w:t>
      </w:r>
      <w:r>
        <w:rPr>
          <w:rFonts w:ascii="Arial"/>
          <w:spacing w:val="-22"/>
          <w:w w:val="95"/>
          <w:sz w:val="22"/>
        </w:rPr>
        <w:t> </w:t>
      </w:r>
      <w:r>
        <w:rPr>
          <w:rFonts w:ascii="Arial"/>
          <w:w w:val="95"/>
          <w:sz w:val="22"/>
        </w:rPr>
        <w:t>microscope,</w:t>
      </w:r>
      <w:r>
        <w:rPr>
          <w:rFonts w:ascii="Arial"/>
          <w:spacing w:val="-19"/>
          <w:w w:val="95"/>
          <w:sz w:val="22"/>
        </w:rPr>
        <w:t> </w:t>
      </w:r>
      <w:r>
        <w:rPr>
          <w:rFonts w:ascii="Arial"/>
          <w:w w:val="95"/>
          <w:sz w:val="22"/>
        </w:rPr>
        <w:t>of</w:t>
      </w:r>
      <w:r>
        <w:rPr>
          <w:rFonts w:ascii="Arial"/>
          <w:spacing w:val="-18"/>
          <w:w w:val="95"/>
          <w:sz w:val="22"/>
        </w:rPr>
        <w:t> </w:t>
      </w:r>
      <w:r>
        <w:rPr>
          <w:rFonts w:ascii="Arial"/>
          <w:w w:val="95"/>
          <w:sz w:val="22"/>
        </w:rPr>
        <w:t>a</w:t>
      </w:r>
      <w:r>
        <w:rPr>
          <w:rFonts w:ascii="Arial"/>
          <w:spacing w:val="-20"/>
          <w:w w:val="95"/>
          <w:sz w:val="22"/>
        </w:rPr>
        <w:t> </w:t>
      </w:r>
      <w:r>
        <w:rPr>
          <w:rFonts w:ascii="Arial"/>
          <w:w w:val="95"/>
          <w:sz w:val="22"/>
        </w:rPr>
        <w:t>compacted</w:t>
      </w:r>
      <w:r>
        <w:rPr>
          <w:rFonts w:ascii="Arial"/>
          <w:spacing w:val="-19"/>
          <w:w w:val="95"/>
          <w:sz w:val="22"/>
        </w:rPr>
        <w:t> </w:t>
      </w:r>
      <w:r>
        <w:rPr>
          <w:rFonts w:ascii="Arial"/>
          <w:w w:val="95"/>
          <w:sz w:val="22"/>
        </w:rPr>
        <w:t>filler</w:t>
      </w:r>
      <w:r>
        <w:rPr>
          <w:rFonts w:ascii="Arial"/>
          <w:spacing w:val="-17"/>
          <w:w w:val="95"/>
          <w:sz w:val="22"/>
        </w:rPr>
        <w:t> </w:t>
      </w:r>
      <w:r>
        <w:rPr>
          <w:rFonts w:ascii="Arial"/>
          <w:w w:val="95"/>
          <w:sz w:val="22"/>
        </w:rPr>
        <w:t>area,</w:t>
      </w:r>
      <w:r>
        <w:rPr>
          <w:rFonts w:ascii="Arial"/>
          <w:spacing w:val="-20"/>
          <w:w w:val="95"/>
          <w:sz w:val="22"/>
        </w:rPr>
        <w:t> </w:t>
      </w:r>
      <w:r>
        <w:rPr>
          <w:rFonts w:ascii="Arial"/>
          <w:w w:val="95"/>
          <w:sz w:val="22"/>
        </w:rPr>
        <w:t>appearing</w:t>
      </w:r>
      <w:r>
        <w:rPr>
          <w:rFonts w:ascii="Arial"/>
          <w:spacing w:val="-19"/>
          <w:w w:val="95"/>
          <w:sz w:val="22"/>
        </w:rPr>
        <w:t> </w:t>
      </w:r>
      <w:r>
        <w:rPr>
          <w:rFonts w:ascii="Arial"/>
          <w:w w:val="95"/>
          <w:sz w:val="22"/>
        </w:rPr>
        <w:t>as</w:t>
      </w:r>
      <w:r>
        <w:rPr>
          <w:rFonts w:ascii="Arial"/>
          <w:spacing w:val="-20"/>
          <w:w w:val="95"/>
          <w:sz w:val="22"/>
        </w:rPr>
        <w:t> </w:t>
      </w:r>
      <w:r>
        <w:rPr>
          <w:rFonts w:ascii="Arial"/>
          <w:w w:val="95"/>
          <w:sz w:val="22"/>
        </w:rPr>
        <w:t>a </w:t>
      </w:r>
      <w:r>
        <w:rPr>
          <w:rFonts w:ascii="Arial"/>
          <w:sz w:val="22"/>
        </w:rPr>
        <w:t>fine</w:t>
      </w:r>
      <w:r>
        <w:rPr>
          <w:rFonts w:ascii="Arial"/>
          <w:spacing w:val="-37"/>
          <w:sz w:val="22"/>
        </w:rPr>
        <w:t> </w:t>
      </w:r>
      <w:r>
        <w:rPr>
          <w:rFonts w:ascii="Arial"/>
          <w:sz w:val="22"/>
        </w:rPr>
        <w:t>network</w:t>
      </w:r>
      <w:r>
        <w:rPr>
          <w:rFonts w:ascii="Arial"/>
          <w:spacing w:val="-38"/>
          <w:sz w:val="22"/>
        </w:rPr>
        <w:t> </w:t>
      </w:r>
      <w:r>
        <w:rPr>
          <w:rFonts w:ascii="Arial"/>
          <w:sz w:val="22"/>
        </w:rPr>
        <w:t>constituted</w:t>
      </w:r>
      <w:r>
        <w:rPr>
          <w:rFonts w:ascii="Arial"/>
          <w:spacing w:val="-36"/>
          <w:sz w:val="22"/>
        </w:rPr>
        <w:t> </w:t>
      </w:r>
      <w:r>
        <w:rPr>
          <w:rFonts w:ascii="Arial"/>
          <w:sz w:val="22"/>
        </w:rPr>
        <w:t>by</w:t>
      </w:r>
      <w:r>
        <w:rPr>
          <w:rFonts w:ascii="Arial"/>
          <w:spacing w:val="-37"/>
          <w:sz w:val="22"/>
        </w:rPr>
        <w:t> </w:t>
      </w:r>
      <w:r>
        <w:rPr>
          <w:rFonts w:ascii="Arial"/>
          <w:sz w:val="22"/>
        </w:rPr>
        <w:t>extremely</w:t>
      </w:r>
      <w:r>
        <w:rPr>
          <w:rFonts w:ascii="Arial"/>
          <w:spacing w:val="-36"/>
          <w:sz w:val="22"/>
        </w:rPr>
        <w:t> </w:t>
      </w:r>
      <w:r>
        <w:rPr>
          <w:rFonts w:ascii="Arial"/>
          <w:sz w:val="22"/>
        </w:rPr>
        <w:t>fine</w:t>
      </w:r>
      <w:r>
        <w:rPr>
          <w:rFonts w:ascii="Arial"/>
          <w:spacing w:val="-38"/>
          <w:sz w:val="22"/>
        </w:rPr>
        <w:t> </w:t>
      </w:r>
      <w:r>
        <w:rPr>
          <w:rFonts w:ascii="Arial"/>
          <w:sz w:val="22"/>
        </w:rPr>
        <w:t>elements</w:t>
      </w:r>
      <w:r>
        <w:rPr>
          <w:rFonts w:ascii="Arial"/>
          <w:spacing w:val="-37"/>
          <w:sz w:val="22"/>
        </w:rPr>
        <w:t> </w:t>
      </w:r>
      <w:r>
        <w:rPr>
          <w:rFonts w:ascii="Arial"/>
          <w:sz w:val="22"/>
        </w:rPr>
        <w:t>Alcian</w:t>
      </w:r>
      <w:r>
        <w:rPr>
          <w:rFonts w:ascii="Arial"/>
          <w:spacing w:val="-37"/>
          <w:sz w:val="22"/>
        </w:rPr>
        <w:t> </w:t>
      </w:r>
      <w:r>
        <w:rPr>
          <w:rFonts w:ascii="Arial"/>
          <w:sz w:val="22"/>
        </w:rPr>
        <w:t>blue</w:t>
      </w:r>
      <w:r>
        <w:rPr>
          <w:rFonts w:ascii="Arial"/>
          <w:spacing w:val="-37"/>
          <w:sz w:val="22"/>
        </w:rPr>
        <w:t> </w:t>
      </w:r>
      <w:r>
        <w:rPr>
          <w:rFonts w:ascii="Arial"/>
          <w:sz w:val="22"/>
        </w:rPr>
        <w:t>stained.</w:t>
      </w:r>
      <w:r>
        <w:rPr>
          <w:rFonts w:ascii="Arial"/>
          <w:spacing w:val="-37"/>
          <w:sz w:val="22"/>
        </w:rPr>
        <w:t> </w:t>
      </w:r>
      <w:r>
        <w:rPr>
          <w:rFonts w:ascii="Arial"/>
          <w:sz w:val="22"/>
        </w:rPr>
        <w:t>The</w:t>
      </w:r>
      <w:r>
        <w:rPr>
          <w:rFonts w:ascii="Arial"/>
          <w:spacing w:val="-37"/>
          <w:sz w:val="22"/>
        </w:rPr>
        <w:t> </w:t>
      </w:r>
      <w:r>
        <w:rPr>
          <w:rFonts w:ascii="Arial"/>
          <w:sz w:val="22"/>
        </w:rPr>
        <w:t>image</w:t>
      </w:r>
      <w:r>
        <w:rPr>
          <w:rFonts w:ascii="Arial"/>
          <w:spacing w:val="-36"/>
          <w:sz w:val="22"/>
        </w:rPr>
        <w:t> </w:t>
      </w:r>
      <w:r>
        <w:rPr>
          <w:rFonts w:ascii="Arial"/>
          <w:sz w:val="22"/>
        </w:rPr>
        <w:t>is</w:t>
      </w:r>
      <w:r>
        <w:rPr>
          <w:rFonts w:ascii="Arial"/>
          <w:spacing w:val="-36"/>
          <w:sz w:val="22"/>
        </w:rPr>
        <w:t> </w:t>
      </w:r>
      <w:r>
        <w:rPr>
          <w:rFonts w:ascii="Arial"/>
          <w:sz w:val="22"/>
        </w:rPr>
        <w:t>suggesting</w:t>
      </w:r>
      <w:r>
        <w:rPr>
          <w:rFonts w:ascii="Arial"/>
          <w:spacing w:val="-38"/>
          <w:sz w:val="22"/>
        </w:rPr>
        <w:t> </w:t>
      </w:r>
      <w:r>
        <w:rPr>
          <w:rFonts w:ascii="Arial"/>
          <w:sz w:val="22"/>
        </w:rPr>
        <w:t>the tridimensional</w:t>
      </w:r>
      <w:r>
        <w:rPr>
          <w:rFonts w:ascii="Arial"/>
          <w:spacing w:val="-30"/>
          <w:sz w:val="22"/>
        </w:rPr>
        <w:t> </w:t>
      </w:r>
      <w:r>
        <w:rPr>
          <w:rFonts w:ascii="Arial"/>
          <w:sz w:val="22"/>
        </w:rPr>
        <w:t>structural</w:t>
      </w:r>
      <w:r>
        <w:rPr>
          <w:rFonts w:ascii="Arial"/>
          <w:spacing w:val="-31"/>
          <w:sz w:val="22"/>
        </w:rPr>
        <w:t> </w:t>
      </w:r>
      <w:r>
        <w:rPr>
          <w:rFonts w:ascii="Arial"/>
          <w:sz w:val="22"/>
        </w:rPr>
        <w:t>organization</w:t>
      </w:r>
      <w:r>
        <w:rPr>
          <w:rFonts w:ascii="Arial"/>
          <w:spacing w:val="-29"/>
          <w:sz w:val="22"/>
        </w:rPr>
        <w:t> </w:t>
      </w:r>
      <w:r>
        <w:rPr>
          <w:rFonts w:ascii="Arial"/>
          <w:sz w:val="22"/>
        </w:rPr>
        <w:t>of</w:t>
      </w:r>
      <w:r>
        <w:rPr>
          <w:rFonts w:ascii="Arial"/>
          <w:spacing w:val="-31"/>
          <w:sz w:val="22"/>
        </w:rPr>
        <w:t> </w:t>
      </w:r>
      <w:r>
        <w:rPr>
          <w:rFonts w:ascii="Arial"/>
          <w:sz w:val="22"/>
        </w:rPr>
        <w:t>the</w:t>
      </w:r>
      <w:r>
        <w:rPr>
          <w:rFonts w:ascii="Arial"/>
          <w:spacing w:val="-30"/>
          <w:sz w:val="22"/>
        </w:rPr>
        <w:t> </w:t>
      </w:r>
      <w:r>
        <w:rPr>
          <w:rFonts w:ascii="Arial"/>
          <w:sz w:val="22"/>
        </w:rPr>
        <w:t>PEGylated</w:t>
      </w:r>
      <w:r>
        <w:rPr>
          <w:rFonts w:ascii="Arial"/>
          <w:spacing w:val="-29"/>
          <w:sz w:val="22"/>
        </w:rPr>
        <w:t> </w:t>
      </w:r>
      <w:r>
        <w:rPr>
          <w:rFonts w:ascii="Arial"/>
          <w:sz w:val="22"/>
        </w:rPr>
        <w:t>hyaluronic</w:t>
      </w:r>
      <w:r>
        <w:rPr>
          <w:rFonts w:ascii="Arial"/>
          <w:spacing w:val="-29"/>
          <w:sz w:val="22"/>
        </w:rPr>
        <w:t> </w:t>
      </w:r>
      <w:r>
        <w:rPr>
          <w:rFonts w:ascii="Arial"/>
          <w:sz w:val="22"/>
        </w:rPr>
        <w:t>acid</w:t>
      </w:r>
      <w:r>
        <w:rPr>
          <w:rFonts w:ascii="Arial"/>
          <w:spacing w:val="-30"/>
          <w:sz w:val="22"/>
        </w:rPr>
        <w:t> </w:t>
      </w:r>
      <w:r>
        <w:rPr>
          <w:rFonts w:ascii="Arial"/>
          <w:sz w:val="22"/>
        </w:rPr>
        <w:t>constituting</w:t>
      </w:r>
      <w:r>
        <w:rPr>
          <w:rFonts w:ascii="Arial"/>
          <w:spacing w:val="-30"/>
          <w:sz w:val="22"/>
        </w:rPr>
        <w:t> </w:t>
      </w:r>
      <w:r>
        <w:rPr>
          <w:rFonts w:ascii="Arial"/>
          <w:sz w:val="22"/>
        </w:rPr>
        <w:t>the</w:t>
      </w:r>
      <w:r>
        <w:rPr>
          <w:rFonts w:ascii="Arial"/>
          <w:spacing w:val="-28"/>
          <w:sz w:val="22"/>
        </w:rPr>
        <w:t> </w:t>
      </w:r>
      <w:r>
        <w:rPr>
          <w:rFonts w:ascii="Arial"/>
          <w:sz w:val="22"/>
        </w:rPr>
        <w:t>filler,</w:t>
      </w:r>
      <w:r>
        <w:rPr>
          <w:rFonts w:ascii="Arial"/>
          <w:spacing w:val="-31"/>
          <w:sz w:val="22"/>
        </w:rPr>
        <w:t> </w:t>
      </w:r>
      <w:r>
        <w:rPr>
          <w:rFonts w:ascii="Arial"/>
          <w:sz w:val="22"/>
        </w:rPr>
        <w:t>as</w:t>
      </w:r>
    </w:p>
    <w:p>
      <w:pPr>
        <w:spacing w:line="251" w:lineRule="exact" w:before="0"/>
        <w:ind w:left="1112" w:right="0" w:firstLine="0"/>
        <w:jc w:val="left"/>
        <w:rPr>
          <w:rFonts w:ascii="Arial" w:hAnsi="Arial"/>
          <w:sz w:val="22"/>
        </w:rPr>
      </w:pPr>
      <w:r>
        <w:rPr/>
        <w:pict>
          <v:shape style="position:absolute;margin-left:-8.504179pt;margin-top:9.240786pt;width:81.75pt;height:491.65pt;mso-position-horizontal-relative:page;mso-position-vertical-relative:paragraph;z-index:-16051200" type="#_x0000_t202" filled="false" stroked="false">
            <v:textbox inset="0,0,0,0" style="layout-flow:vertical;mso-layout-flow-alt:bottom-to-top">
              <w:txbxContent>
                <w:p>
                  <w:pPr>
                    <w:spacing w:line="1615" w:lineRule="exact" w:before="0"/>
                    <w:ind w:left="20" w:right="0" w:firstLine="0"/>
                    <w:jc w:val="left"/>
                    <w:rPr>
                      <w:sz w:val="144"/>
                    </w:rPr>
                  </w:pPr>
                  <w:r>
                    <w:rPr>
                      <w:color w:val="7F7F7F"/>
                      <w:sz w:val="144"/>
                    </w:rPr>
                    <w:t>Accepted Article</w:t>
                  </w:r>
                </w:p>
              </w:txbxContent>
            </v:textbox>
            <w10:wrap type="none"/>
          </v:shape>
        </w:pict>
      </w:r>
      <w:r>
        <w:rPr>
          <w:rFonts w:ascii="Arial" w:hAnsi="Arial"/>
          <w:sz w:val="22"/>
        </w:rPr>
        <w:t>representation</w:t>
      </w:r>
      <w:r>
        <w:rPr>
          <w:rFonts w:ascii="Arial" w:hAnsi="Arial"/>
          <w:spacing w:val="-35"/>
          <w:sz w:val="22"/>
        </w:rPr>
        <w:t> </w:t>
      </w:r>
      <w:r>
        <w:rPr>
          <w:rFonts w:ascii="Arial" w:hAnsi="Arial"/>
          <w:sz w:val="22"/>
        </w:rPr>
        <w:t>of</w:t>
      </w:r>
      <w:r>
        <w:rPr>
          <w:rFonts w:ascii="Arial" w:hAnsi="Arial"/>
          <w:spacing w:val="-35"/>
          <w:sz w:val="22"/>
        </w:rPr>
        <w:t> </w:t>
      </w:r>
      <w:r>
        <w:rPr>
          <w:rFonts w:ascii="Arial" w:hAnsi="Arial"/>
          <w:sz w:val="22"/>
        </w:rPr>
        <w:t>the</w:t>
      </w:r>
      <w:r>
        <w:rPr>
          <w:rFonts w:ascii="Arial" w:hAnsi="Arial"/>
          <w:spacing w:val="-34"/>
          <w:sz w:val="22"/>
        </w:rPr>
        <w:t> </w:t>
      </w:r>
      <w:r>
        <w:rPr>
          <w:rFonts w:ascii="Arial" w:hAnsi="Arial"/>
          <w:sz w:val="22"/>
        </w:rPr>
        <w:t>extremely</w:t>
      </w:r>
      <w:r>
        <w:rPr>
          <w:rFonts w:ascii="Arial" w:hAnsi="Arial"/>
          <w:spacing w:val="-33"/>
          <w:sz w:val="22"/>
        </w:rPr>
        <w:t> </w:t>
      </w:r>
      <w:r>
        <w:rPr>
          <w:rFonts w:ascii="Arial" w:hAnsi="Arial"/>
          <w:sz w:val="22"/>
        </w:rPr>
        <w:t>extended</w:t>
      </w:r>
      <w:r>
        <w:rPr>
          <w:rFonts w:ascii="Arial" w:hAnsi="Arial"/>
          <w:spacing w:val="-35"/>
          <w:sz w:val="22"/>
        </w:rPr>
        <w:t> </w:t>
      </w:r>
      <w:r>
        <w:rPr>
          <w:rFonts w:ascii="Arial" w:hAnsi="Arial"/>
          <w:sz w:val="22"/>
        </w:rPr>
        <w:t>surface</w:t>
      </w:r>
      <w:r>
        <w:rPr>
          <w:rFonts w:ascii="Arial" w:hAnsi="Arial"/>
          <w:spacing w:val="-34"/>
          <w:sz w:val="22"/>
        </w:rPr>
        <w:t> </w:t>
      </w:r>
      <w:r>
        <w:rPr>
          <w:rFonts w:ascii="Arial" w:hAnsi="Arial"/>
          <w:sz w:val="22"/>
        </w:rPr>
        <w:t>of</w:t>
      </w:r>
      <w:r>
        <w:rPr>
          <w:rFonts w:ascii="Arial" w:hAnsi="Arial"/>
          <w:spacing w:val="-34"/>
          <w:sz w:val="22"/>
        </w:rPr>
        <w:t> </w:t>
      </w:r>
      <w:r>
        <w:rPr>
          <w:rFonts w:ascii="Arial" w:hAnsi="Arial"/>
          <w:sz w:val="22"/>
        </w:rPr>
        <w:t>hydrophilic</w:t>
      </w:r>
      <w:r>
        <w:rPr>
          <w:rFonts w:ascii="Arial" w:hAnsi="Arial"/>
          <w:spacing w:val="-34"/>
          <w:sz w:val="22"/>
        </w:rPr>
        <w:t> </w:t>
      </w:r>
      <w:r>
        <w:rPr>
          <w:rFonts w:ascii="Arial" w:hAnsi="Arial"/>
          <w:sz w:val="22"/>
        </w:rPr>
        <w:t>molecular</w:t>
      </w:r>
      <w:r>
        <w:rPr>
          <w:rFonts w:ascii="Arial" w:hAnsi="Arial"/>
          <w:spacing w:val="-34"/>
          <w:sz w:val="22"/>
        </w:rPr>
        <w:t> </w:t>
      </w:r>
      <w:r>
        <w:rPr>
          <w:rFonts w:ascii="Arial" w:hAnsi="Arial"/>
          <w:sz w:val="22"/>
        </w:rPr>
        <w:t>sites</w:t>
      </w:r>
      <w:r>
        <w:rPr>
          <w:rFonts w:ascii="Arial" w:hAnsi="Arial"/>
          <w:spacing w:val="-35"/>
          <w:sz w:val="22"/>
        </w:rPr>
        <w:t> </w:t>
      </w:r>
      <w:r>
        <w:rPr>
          <w:rFonts w:ascii="Arial" w:hAnsi="Arial"/>
          <w:sz w:val="22"/>
        </w:rPr>
        <w:t>of</w:t>
      </w:r>
      <w:r>
        <w:rPr>
          <w:rFonts w:ascii="Arial" w:hAnsi="Arial"/>
          <w:spacing w:val="-33"/>
          <w:sz w:val="22"/>
        </w:rPr>
        <w:t> </w:t>
      </w:r>
      <w:r>
        <w:rPr>
          <w:rFonts w:ascii="Arial" w:hAnsi="Arial"/>
          <w:sz w:val="22"/>
        </w:rPr>
        <w:t>the</w:t>
      </w:r>
      <w:r>
        <w:rPr>
          <w:rFonts w:ascii="Arial" w:hAnsi="Arial"/>
          <w:spacing w:val="-34"/>
          <w:sz w:val="22"/>
        </w:rPr>
        <w:t> </w:t>
      </w:r>
      <w:r>
        <w:rPr>
          <w:rFonts w:ascii="Arial" w:hAnsi="Arial"/>
          <w:sz w:val="22"/>
        </w:rPr>
        <w:t>filler.</w:t>
      </w:r>
      <w:r>
        <w:rPr>
          <w:rFonts w:ascii="Arial" w:hAnsi="Arial"/>
          <w:spacing w:val="-35"/>
          <w:sz w:val="22"/>
        </w:rPr>
        <w:t> </w:t>
      </w:r>
      <w:r>
        <w:rPr>
          <w:rFonts w:ascii="Arial" w:hAnsi="Arial"/>
          <w:sz w:val="22"/>
        </w:rPr>
        <w:t>Bar:</w:t>
      </w:r>
      <w:r>
        <w:rPr>
          <w:rFonts w:ascii="Arial" w:hAnsi="Arial"/>
          <w:spacing w:val="-34"/>
          <w:sz w:val="22"/>
        </w:rPr>
        <w:t> </w:t>
      </w:r>
      <w:r>
        <w:rPr>
          <w:rFonts w:ascii="Arial" w:hAnsi="Arial"/>
          <w:sz w:val="22"/>
        </w:rPr>
        <w:t>10</w:t>
      </w:r>
      <w:r>
        <w:rPr>
          <w:rFonts w:ascii="Arial" w:hAnsi="Arial"/>
          <w:spacing w:val="-34"/>
          <w:sz w:val="22"/>
        </w:rPr>
        <w:t> </w:t>
      </w:r>
      <w:r>
        <w:rPr>
          <w:rFonts w:ascii="Arial" w:hAnsi="Arial"/>
          <w:sz w:val="22"/>
        </w:rPr>
        <w:t>μm.</w:t>
      </w:r>
    </w:p>
    <w:sectPr>
      <w:pgSz w:w="11910" w:h="16840"/>
      <w:pgMar w:header="0" w:footer="461" w:top="1360" w:bottom="660" w:left="20" w:right="10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238.910004pt;margin-top:812.57428pt;width:291.9pt;height:14.05pt;mso-position-horizontal-relative:page;mso-position-vertical-relative:page;z-index:-16067072" type="#_x0000_t202" filled="false" stroked="false">
          <v:textbox inset="0,0,0,0">
            <w:txbxContent>
              <w:p>
                <w:pPr>
                  <w:pStyle w:val="BodyText"/>
                  <w:spacing w:line="259" w:lineRule="exact"/>
                  <w:ind w:left="20"/>
                </w:pPr>
                <w:r>
                  <w:rPr>
                    <w:w w:val="105"/>
                  </w:rPr>
                  <w:t>This article is protected by copyright. All rights reserved.</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shape style="position:absolute;margin-left:181.970001pt;margin-top:803.85083pt;width:231.4pt;height:13.1pt;mso-position-horizontal-relative:page;mso-position-vertical-relative:page;z-index:-16066560" type="#_x0000_t202" filled="false" stroked="false">
          <v:textbox inset="0,0,0,0">
            <w:txbxContent>
              <w:p>
                <w:pPr>
                  <w:spacing w:before="11"/>
                  <w:ind w:left="20" w:right="0" w:firstLine="0"/>
                  <w:jc w:val="left"/>
                  <w:rPr>
                    <w:sz w:val="20"/>
                  </w:rPr>
                </w:pPr>
                <w:r>
                  <w:rPr>
                    <w:sz w:val="20"/>
                  </w:rPr>
                  <w:t>This article is protected by copyright. All rights reserved.</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1"/>
      <w:numFmt w:val="decimal"/>
      <w:lvlText w:val="%1."/>
      <w:lvlJc w:val="left"/>
      <w:pPr>
        <w:ind w:left="1498" w:hanging="240"/>
        <w:jc w:val="left"/>
      </w:pPr>
      <w:rPr>
        <w:rFonts w:hint="default" w:ascii="Times New Roman" w:hAnsi="Times New Roman" w:eastAsia="Times New Roman" w:cs="Times New Roman"/>
        <w:w w:val="100"/>
        <w:sz w:val="24"/>
        <w:szCs w:val="24"/>
      </w:rPr>
    </w:lvl>
    <w:lvl w:ilvl="1">
      <w:start w:val="0"/>
      <w:numFmt w:val="bullet"/>
      <w:lvlText w:val="•"/>
      <w:lvlJc w:val="left"/>
      <w:pPr>
        <w:ind w:left="2436" w:hanging="240"/>
      </w:pPr>
      <w:rPr>
        <w:rFonts w:hint="default"/>
      </w:rPr>
    </w:lvl>
    <w:lvl w:ilvl="2">
      <w:start w:val="0"/>
      <w:numFmt w:val="bullet"/>
      <w:lvlText w:val="•"/>
      <w:lvlJc w:val="left"/>
      <w:pPr>
        <w:ind w:left="3373" w:hanging="240"/>
      </w:pPr>
      <w:rPr>
        <w:rFonts w:hint="default"/>
      </w:rPr>
    </w:lvl>
    <w:lvl w:ilvl="3">
      <w:start w:val="0"/>
      <w:numFmt w:val="bullet"/>
      <w:lvlText w:val="•"/>
      <w:lvlJc w:val="left"/>
      <w:pPr>
        <w:ind w:left="4309" w:hanging="240"/>
      </w:pPr>
      <w:rPr>
        <w:rFonts w:hint="default"/>
      </w:rPr>
    </w:lvl>
    <w:lvl w:ilvl="4">
      <w:start w:val="0"/>
      <w:numFmt w:val="bullet"/>
      <w:lvlText w:val="•"/>
      <w:lvlJc w:val="left"/>
      <w:pPr>
        <w:ind w:left="5246" w:hanging="240"/>
      </w:pPr>
      <w:rPr>
        <w:rFonts w:hint="default"/>
      </w:rPr>
    </w:lvl>
    <w:lvl w:ilvl="5">
      <w:start w:val="0"/>
      <w:numFmt w:val="bullet"/>
      <w:lvlText w:val="•"/>
      <w:lvlJc w:val="left"/>
      <w:pPr>
        <w:ind w:left="6183" w:hanging="240"/>
      </w:pPr>
      <w:rPr>
        <w:rFonts w:hint="default"/>
      </w:rPr>
    </w:lvl>
    <w:lvl w:ilvl="6">
      <w:start w:val="0"/>
      <w:numFmt w:val="bullet"/>
      <w:lvlText w:val="•"/>
      <w:lvlJc w:val="left"/>
      <w:pPr>
        <w:ind w:left="7119" w:hanging="240"/>
      </w:pPr>
      <w:rPr>
        <w:rFonts w:hint="default"/>
      </w:rPr>
    </w:lvl>
    <w:lvl w:ilvl="7">
      <w:start w:val="0"/>
      <w:numFmt w:val="bullet"/>
      <w:lvlText w:val="•"/>
      <w:lvlJc w:val="left"/>
      <w:pPr>
        <w:ind w:left="8056" w:hanging="240"/>
      </w:pPr>
      <w:rPr>
        <w:rFonts w:hint="default"/>
      </w:rPr>
    </w:lvl>
    <w:lvl w:ilvl="8">
      <w:start w:val="0"/>
      <w:numFmt w:val="bullet"/>
      <w:lvlText w:val="•"/>
      <w:lvlJc w:val="left"/>
      <w:pPr>
        <w:ind w:left="8993" w:hanging="240"/>
      </w:pPr>
      <w:rPr>
        <w:rFonts w:hint="default"/>
      </w:rPr>
    </w:lvl>
  </w:abstractNum>
  <w:abstractNum w:abstractNumId="0">
    <w:multiLevelType w:val="hybridMultilevel"/>
    <w:lvl w:ilvl="0">
      <w:start w:val="0"/>
      <w:numFmt w:val="bullet"/>
      <w:lvlText w:val="•"/>
      <w:lvlJc w:val="left"/>
      <w:pPr>
        <w:ind w:left="1834" w:hanging="360"/>
      </w:pPr>
      <w:rPr>
        <w:rFonts w:hint="default" w:ascii="Arial" w:hAnsi="Arial" w:eastAsia="Arial" w:cs="Arial"/>
        <w:w w:val="131"/>
        <w:sz w:val="24"/>
        <w:szCs w:val="24"/>
      </w:rPr>
    </w:lvl>
    <w:lvl w:ilvl="1">
      <w:start w:val="0"/>
      <w:numFmt w:val="bullet"/>
      <w:lvlText w:val="•"/>
      <w:lvlJc w:val="left"/>
      <w:pPr>
        <w:ind w:left="2742" w:hanging="360"/>
      </w:pPr>
      <w:rPr>
        <w:rFonts w:hint="default"/>
      </w:rPr>
    </w:lvl>
    <w:lvl w:ilvl="2">
      <w:start w:val="0"/>
      <w:numFmt w:val="bullet"/>
      <w:lvlText w:val="•"/>
      <w:lvlJc w:val="left"/>
      <w:pPr>
        <w:ind w:left="3645" w:hanging="360"/>
      </w:pPr>
      <w:rPr>
        <w:rFonts w:hint="default"/>
      </w:rPr>
    </w:lvl>
    <w:lvl w:ilvl="3">
      <w:start w:val="0"/>
      <w:numFmt w:val="bullet"/>
      <w:lvlText w:val="•"/>
      <w:lvlJc w:val="left"/>
      <w:pPr>
        <w:ind w:left="4547" w:hanging="360"/>
      </w:pPr>
      <w:rPr>
        <w:rFonts w:hint="default"/>
      </w:rPr>
    </w:lvl>
    <w:lvl w:ilvl="4">
      <w:start w:val="0"/>
      <w:numFmt w:val="bullet"/>
      <w:lvlText w:val="•"/>
      <w:lvlJc w:val="left"/>
      <w:pPr>
        <w:ind w:left="5450" w:hanging="360"/>
      </w:pPr>
      <w:rPr>
        <w:rFonts w:hint="default"/>
      </w:rPr>
    </w:lvl>
    <w:lvl w:ilvl="5">
      <w:start w:val="0"/>
      <w:numFmt w:val="bullet"/>
      <w:lvlText w:val="•"/>
      <w:lvlJc w:val="left"/>
      <w:pPr>
        <w:ind w:left="6353" w:hanging="360"/>
      </w:pPr>
      <w:rPr>
        <w:rFonts w:hint="default"/>
      </w:rPr>
    </w:lvl>
    <w:lvl w:ilvl="6">
      <w:start w:val="0"/>
      <w:numFmt w:val="bullet"/>
      <w:lvlText w:val="•"/>
      <w:lvlJc w:val="left"/>
      <w:pPr>
        <w:ind w:left="7255" w:hanging="360"/>
      </w:pPr>
      <w:rPr>
        <w:rFonts w:hint="default"/>
      </w:rPr>
    </w:lvl>
    <w:lvl w:ilvl="7">
      <w:start w:val="0"/>
      <w:numFmt w:val="bullet"/>
      <w:lvlText w:val="•"/>
      <w:lvlJc w:val="left"/>
      <w:pPr>
        <w:ind w:left="8158" w:hanging="360"/>
      </w:pPr>
      <w:rPr>
        <w:rFonts w:hint="default"/>
      </w:rPr>
    </w:lvl>
    <w:lvl w:ilvl="8">
      <w:start w:val="0"/>
      <w:numFmt w:val="bullet"/>
      <w:lvlText w:val="•"/>
      <w:lvlJc w:val="left"/>
      <w:pPr>
        <w:ind w:left="9061" w:hanging="360"/>
      </w:pPr>
      <w:rPr>
        <w:rFonts w:hint="default"/>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4"/>
      <w:szCs w:val="24"/>
    </w:rPr>
  </w:style>
  <w:style w:styleId="Heading1" w:type="paragraph">
    <w:name w:val="Heading 1"/>
    <w:basedOn w:val="Normal"/>
    <w:uiPriority w:val="1"/>
    <w:qFormat/>
    <w:pPr>
      <w:ind w:left="1114"/>
      <w:outlineLvl w:val="1"/>
    </w:pPr>
    <w:rPr>
      <w:rFonts w:ascii="Times New Roman" w:hAnsi="Times New Roman" w:eastAsia="Times New Roman" w:cs="Times New Roman"/>
      <w:b/>
      <w:bCs/>
      <w:sz w:val="24"/>
      <w:szCs w:val="24"/>
    </w:rPr>
  </w:style>
  <w:style w:styleId="ListParagraph" w:type="paragraph">
    <w:name w:val="List Paragraph"/>
    <w:basedOn w:val="Normal"/>
    <w:uiPriority w:val="1"/>
    <w:qFormat/>
    <w:pPr>
      <w:ind w:left="1498" w:hanging="384"/>
    </w:pPr>
    <w:rPr>
      <w:rFonts w:ascii="Times New Roman" w:hAnsi="Times New Roman" w:eastAsia="Times New Roman" w:cs="Times New Roman"/>
    </w:rPr>
  </w:style>
  <w:style w:styleId="TableParagraph" w:type="paragraph">
    <w:name w:val="Table Paragraph"/>
    <w:basedOn w:val="Normal"/>
    <w:uiPriority w:val="1"/>
    <w:qFormat/>
    <w:pPr>
      <w:spacing w:before="103"/>
      <w:ind w:left="50"/>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hyperlink" Target="mailto:nicola.zerbinati@uninsubria.it" TargetMode="External"/><Relationship Id="rId8" Type="http://schemas.openxmlformats.org/officeDocument/2006/relationships/hyperlink" Target="mailto:cesposito@centro-medico.it" TargetMode="External"/><Relationship Id="rId9" Type="http://schemas.openxmlformats.org/officeDocument/2006/relationships/hyperlink" Target="mailto:giovannacipolla13@gmail.com" TargetMode="External"/><Relationship Id="rId10" Type="http://schemas.openxmlformats.org/officeDocument/2006/relationships/hyperlink" Target="mailto:alberto.calligaro@unipv.it" TargetMode="External"/><Relationship Id="rId11" Type="http://schemas.openxmlformats.org/officeDocument/2006/relationships/hyperlink" Target="mailto:damiano.monticelli@uninsubria.it" TargetMode="External"/><Relationship Id="rId12" Type="http://schemas.openxmlformats.org/officeDocument/2006/relationships/hyperlink" Target="mailto:v.martina@matexlab.com" TargetMode="External"/><Relationship Id="rId13" Type="http://schemas.openxmlformats.org/officeDocument/2006/relationships/hyperlink" Target="mailto:a.gallo@matexlab.com" TargetMode="External"/><Relationship Id="rId14" Type="http://schemas.openxmlformats.org/officeDocument/2006/relationships/hyperlink" Target="mailto:edeste@centro-medico.it" TargetMode="External"/><Relationship Id="rId15" Type="http://schemas.openxmlformats.org/officeDocument/2006/relationships/hyperlink" Target="mailto:marina.protasoni@uninsubria.it" TargetMode="External"/><Relationship Id="rId16" Type="http://schemas.openxmlformats.org/officeDocument/2006/relationships/hyperlink" Target="mailto:fabi-92@live.it" TargetMode="External"/><Relationship Id="rId17" Type="http://schemas.openxmlformats.org/officeDocument/2006/relationships/hyperlink" Target="mailto:dr.raffaele.rauso@gmail.com" TargetMode="External"/><Relationship Id="rId18" Type="http://schemas.openxmlformats.org/officeDocument/2006/relationships/hyperlink" Target="mailto:professor@torellolotti.it" TargetMode="External"/><Relationship Id="rId19" Type="http://schemas.openxmlformats.org/officeDocument/2006/relationships/hyperlink" Target="mailto:masabinic@gmail.com" TargetMode="External"/><Relationship Id="rId20" Type="http://schemas.openxmlformats.org/officeDocument/2006/relationships/hyperlink" Target="mailto:ivabinic@gmal.com" TargetMode="External"/><Relationship Id="rId21" Type="http://schemas.openxmlformats.org/officeDocument/2006/relationships/hyperlink" Target="http://dx.doi.org/10.1111/dth.13747" TargetMode="External"/><Relationship Id="rId22" Type="http://schemas.openxmlformats.org/officeDocument/2006/relationships/hyperlink" Target="mailto:sigovay@gmail.com" TargetMode="External"/><Relationship Id="rId23" Type="http://schemas.openxmlformats.org/officeDocument/2006/relationships/hyperlink" Target="mailto:drmichael@psoriasis.com.au" TargetMode="External"/><Relationship Id="rId24" Type="http://schemas.openxmlformats.org/officeDocument/2006/relationships/hyperlink" Target="https://www.ncbi.nlm.nih.gov/pubmed/?term=Fraser%20JR%5BAuthor%5D&amp;cauthor=true&amp;cauthor_uid=9260563" TargetMode="External"/><Relationship Id="rId25" Type="http://schemas.openxmlformats.org/officeDocument/2006/relationships/hyperlink" Target="https://www.ncbi.nlm.nih.gov/pubmed/?term=Laurent%20TC%5BAuthor%5D&amp;cauthor=true&amp;cauthor_uid=9260563" TargetMode="External"/><Relationship Id="rId26" Type="http://schemas.openxmlformats.org/officeDocument/2006/relationships/hyperlink" Target="https://www.ncbi.nlm.nih.gov/pubmed/?term=Laurent%20UB%5BAuthor%5D&amp;cauthor=true&amp;cauthor_uid=9260563" TargetMode="External"/><Relationship Id="rId27" Type="http://schemas.openxmlformats.org/officeDocument/2006/relationships/hyperlink" Target="https://www.ncbi.nlm.nih.gov/pubmed/?term=Laurent%20TC%5BAuthor%5D&amp;cauthor=true&amp;cauthor_uid=1563592" TargetMode="External"/><Relationship Id="rId28" Type="http://schemas.openxmlformats.org/officeDocument/2006/relationships/hyperlink" Target="https://www.ncbi.nlm.nih.gov/pubmed/?term=Fraser%20JR%5BAuthor%5D&amp;cauthor=true&amp;cauthor_uid=1563592" TargetMode="External"/><Relationship Id="rId29" Type="http://schemas.openxmlformats.org/officeDocument/2006/relationships/hyperlink" Target="https://www.ncbi.nlm.nih.gov/pubmed/?term=Viola%20M%5BAuthor%5D&amp;cauthor=true&amp;cauthor_uid=25971701" TargetMode="External"/><Relationship Id="rId30" Type="http://schemas.openxmlformats.org/officeDocument/2006/relationships/hyperlink" Target="https://www.ncbi.nlm.nih.gov/pubmed/?term=Vigetti%20D%5BAuthor%5D&amp;cauthor=true&amp;cauthor_uid=25971701" TargetMode="External"/><Relationship Id="rId31" Type="http://schemas.openxmlformats.org/officeDocument/2006/relationships/hyperlink" Target="https://www.ncbi.nlm.nih.gov/pubmed/?term=Karousou%20E%5BAuthor%5D&amp;cauthor=true&amp;cauthor_uid=25971701" TargetMode="External"/><Relationship Id="rId32" Type="http://schemas.openxmlformats.org/officeDocument/2006/relationships/hyperlink" Target="https://www.ncbi.nlm.nih.gov/pubmed/?term=D%27Angelo%20ML%5BAuthor%5D&amp;cauthor=true&amp;cauthor_uid=25971701" TargetMode="External"/><Relationship Id="rId33" Type="http://schemas.openxmlformats.org/officeDocument/2006/relationships/hyperlink" Target="https://www.ncbi.nlm.nih.gov/pubmed/?term=Caon%20I%5BAuthor%5D&amp;cauthor=true&amp;cauthor_uid=25971701" TargetMode="External"/><Relationship Id="rId34" Type="http://schemas.openxmlformats.org/officeDocument/2006/relationships/hyperlink" Target="https://www.ncbi.nlm.nih.gov/pubmed/?term=Moretto%20P%5BAuthor%5D&amp;cauthor=true&amp;cauthor_uid=25971701" TargetMode="External"/><Relationship Id="rId35" Type="http://schemas.openxmlformats.org/officeDocument/2006/relationships/hyperlink" Target="https://www.ncbi.nlm.nih.gov/pubmed/?term=De%20Luca%20G%5BAuthor%5D&amp;cauthor=true&amp;cauthor_uid=25971701" TargetMode="External"/><Relationship Id="rId36" Type="http://schemas.openxmlformats.org/officeDocument/2006/relationships/hyperlink" Target="https://www.ncbi.nlm.nih.gov/pubmed/?term=Passi%20A%5BAuthor%5D&amp;cauthor=true&amp;cauthor_uid=25971701" TargetMode="External"/><Relationship Id="rId37" Type="http://schemas.openxmlformats.org/officeDocument/2006/relationships/image" Target="media/image2.png"/><Relationship Id="rId38" Type="http://schemas.openxmlformats.org/officeDocument/2006/relationships/footer" Target="footer2.xml"/><Relationship Id="rId39" Type="http://schemas.openxmlformats.org/officeDocument/2006/relationships/image" Target="media/image3.jpeg"/><Relationship Id="rId40" Type="http://schemas.openxmlformats.org/officeDocument/2006/relationships/image" Target="media/image4.jpeg"/><Relationship Id="rId41" Type="http://schemas.openxmlformats.org/officeDocument/2006/relationships/image" Target="media/image5.jpeg"/><Relationship Id="rId42" Type="http://schemas.openxmlformats.org/officeDocument/2006/relationships/image" Target="media/image6.jpeg"/><Relationship Id="rId43" Type="http://schemas.openxmlformats.org/officeDocument/2006/relationships/image" Target="media/image7.png"/><Relationship Id="rId44" Type="http://schemas.openxmlformats.org/officeDocument/2006/relationships/image" Target="media/image8.png"/><Relationship Id="rId45" Type="http://schemas.openxmlformats.org/officeDocument/2006/relationships/image" Target="media/image9.png"/><Relationship Id="rId4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CHEMICAL AND MECHANICAL CHARACTERIZATION OF HYALURONIC ACID HYDROGEL CROSS-LINKED WITH POLYETHYLEN GLYCOL AND ITS USE IN DERMATOLOGY.</dc:title>
  <dcterms:created xsi:type="dcterms:W3CDTF">2021-01-13T08:17:21Z</dcterms:created>
  <dcterms:modified xsi:type="dcterms:W3CDTF">2021-01-13T08:17:21Z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2020-05-30T00:00:00Z</vt:filetime>
  </property>
  <property fmtid="{D5CDD505-2E9C-101B-9397-08002B2CF9AE}" pid="3" name="LastSaved">
    <vt:filetime>2021-01-13T00:00:00Z</vt:filetime>
  </property>
</Properties>
</file>